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2025 Fall – Week 13 Minutes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Wednesday, November 19th, 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8:00 pm, ASUC Senate Chambers (510 Eshleman Hall)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hd w:fill="ead1dc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Table of Contents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id w:val="-12008605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9">
          <w:pPr>
            <w:spacing w:line="240" w:lineRule="auto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z5uqemf2p0ah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Call to Order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line="240" w:lineRule="auto"/>
            <w:rPr>
              <w:color w:val="1155cc"/>
              <w:u w:val="single"/>
            </w:rPr>
          </w:pPr>
          <w:hyperlink r:id="rId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Campus Guest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line="240" w:lineRule="auto"/>
            <w:rPr>
              <w:color w:val="1155cc"/>
              <w:u w:val="single"/>
            </w:rPr>
          </w:pPr>
          <w:hyperlink w:anchor="_eihxbciwdlz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Public Comments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line="240" w:lineRule="auto"/>
            <w:rPr>
              <w:color w:val="1155cc"/>
              <w:u w:val="single"/>
            </w:rPr>
          </w:pPr>
          <w:hyperlink w:anchor="_sior5g2a03a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Executive Officer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line="240" w:lineRule="auto"/>
            <w:rPr>
              <w:color w:val="1155cc"/>
              <w:u w:val="single"/>
            </w:rPr>
          </w:pPr>
          <w:hyperlink w:anchor="_n8ki2li6fma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ASUC Official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line="240" w:lineRule="auto"/>
            <w:rPr>
              <w:color w:val="1155cc"/>
              <w:u w:val="single"/>
            </w:rPr>
          </w:pPr>
          <w:hyperlink r:id="rId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Committee Reports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line="240" w:lineRule="auto"/>
            <w:rPr>
              <w:color w:val="1155cc"/>
              <w:u w:val="single"/>
            </w:rPr>
          </w:pPr>
          <w:hyperlink r:id="rId9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Consent Calendar /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line="240" w:lineRule="auto"/>
            <w:rPr>
              <w:color w:val="1155cc"/>
              <w:u w:val="single"/>
            </w:rPr>
          </w:pPr>
          <w:hyperlink w:anchor="_1anvv6swzts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New Business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line="240" w:lineRule="auto"/>
            <w:rPr>
              <w:color w:val="1155cc"/>
              <w:u w:val="single"/>
            </w:rPr>
          </w:pPr>
          <w:hyperlink r:id="rId1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Adjournment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line="240" w:lineRule="auto"/>
            <w:rPr>
              <w:color w:val="1155cc"/>
              <w:u w:val="single"/>
            </w:rPr>
          </w:pPr>
          <w:hyperlink r:id="rId11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1: Text of New Bills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line="240" w:lineRule="auto"/>
            <w:rPr>
              <w:color w:val="1155cc"/>
              <w:u w:val="single"/>
            </w:rPr>
          </w:pPr>
          <w:hyperlink r:id="rId1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2: Text of Bills on Consent Calendar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line="240" w:lineRule="auto"/>
            <w:rPr>
              <w:color w:val="1155cc"/>
              <w:u w:val="single"/>
            </w:rPr>
          </w:pPr>
          <w:hyperlink r:id="rId1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3: Text of Bills as Passed in Immediate Consideration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line="240" w:lineRule="auto"/>
            <w:rPr>
              <w:color w:val="1155cc"/>
              <w:u w:val="single"/>
            </w:rPr>
          </w:pPr>
          <w:hyperlink r:id="rId1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Appendix 4: Text of Committee Minutes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e6wwzycvn1x8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z5uqemf2p0ah" w:id="1"/>
      <w:bookmarkEnd w:id="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Call to Order at 8:10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Senator Teran motions to amend the agenda to add resolution SR 25/26- 035 second by Senator Reading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Senator Beardsley motions to approve agenda second by Senator Thy.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520.0000000000002"/>
        <w:gridCol w:w="484.9999999999997"/>
        <w:gridCol w:w="585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410"/>
            <w:gridCol w:w="520.0000000000002"/>
            <w:gridCol w:w="484.9999999999997"/>
            <w:gridCol w:w="585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08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y6wesl59l9rs" w:id="2"/>
      <w:bookmarkEnd w:id="2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Campus Guest Reports 8:12 PM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eihxbciwdlzs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Public Comments 8:14 PM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CalPers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knlqa81lfgj5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Response to Public Comments 8:16 PM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sior5g2a03ay" w:id="5"/>
      <w:bookmarkEnd w:id="5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Executive Officer Reports 8:18 PM</w:t>
      </w:r>
    </w:p>
    <w:p w:rsidR="00000000" w:rsidDel="00000000" w:rsidP="00000000" w:rsidRDefault="00000000" w:rsidRPr="00000000" w14:paraId="00000095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President, Abigail Verino</w:t>
      </w:r>
    </w:p>
    <w:p w:rsidR="00000000" w:rsidDel="00000000" w:rsidP="00000000" w:rsidRDefault="00000000" w:rsidRPr="00000000" w14:paraId="00000096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Executive Vice President, Isha Chander </w:t>
      </w:r>
    </w:p>
    <w:p w:rsidR="00000000" w:rsidDel="00000000" w:rsidP="00000000" w:rsidRDefault="00000000" w:rsidRPr="00000000" w14:paraId="0000009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 </w:t>
      </w:r>
    </w:p>
    <w:p w:rsidR="00000000" w:rsidDel="00000000" w:rsidP="00000000" w:rsidRDefault="00000000" w:rsidRPr="00000000" w14:paraId="0000009B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Academic Affairs Vice President, Jenny Tran </w:t>
      </w:r>
    </w:p>
    <w:p w:rsidR="00000000" w:rsidDel="00000000" w:rsidP="00000000" w:rsidRDefault="00000000" w:rsidRPr="00000000" w14:paraId="0000009E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9F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Motion by Senator Thy to extend time by 5 minutes, seconded Mendez. Motion passed with unanimous consent. </w:t>
      </w:r>
    </w:p>
    <w:p w:rsidR="00000000" w:rsidDel="00000000" w:rsidP="00000000" w:rsidRDefault="00000000" w:rsidRPr="00000000" w14:paraId="000000A0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Student Advocate, Britnee Stephen</w:t>
      </w:r>
    </w:p>
    <w:p w:rsidR="00000000" w:rsidDel="00000000" w:rsidP="00000000" w:rsidRDefault="00000000" w:rsidRPr="00000000" w14:paraId="000000A2">
      <w:pPr>
        <w:widowControl w:val="0"/>
        <w:spacing w:line="360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Presentation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Q: Where is the know your rights workshop?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A: That is tbd, but we will post it on our instagram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External Affairs Vice President, Calvin Yang</w:t>
      </w:r>
    </w:p>
    <w:p w:rsidR="00000000" w:rsidDel="00000000" w:rsidP="00000000" w:rsidRDefault="00000000" w:rsidRPr="00000000" w14:paraId="000000A7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A8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360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Admin Office Reports 8:41 pm</w:t>
      </w:r>
    </w:p>
    <w:p w:rsidR="00000000" w:rsidDel="00000000" w:rsidP="00000000" w:rsidRDefault="00000000" w:rsidRPr="00000000" w14:paraId="000000AA">
      <w:pPr>
        <w:widowControl w:val="0"/>
        <w:spacing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General Manager</w:t>
      </w:r>
    </w:p>
    <w:p w:rsidR="00000000" w:rsidDel="00000000" w:rsidP="00000000" w:rsidRDefault="00000000" w:rsidRPr="00000000" w14:paraId="000000AB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AC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360" w:lineRule="auto"/>
        <w:rPr/>
      </w:pPr>
      <w:r w:rsidDel="00000000" w:rsidR="00000000" w:rsidRPr="00000000">
        <w:rPr>
          <w:b w:val="1"/>
          <w:bCs w:val="1"/>
          <w:i w:val="1"/>
          <w:iCs w:val="1"/>
          <w:color w:val="222222"/>
          <w:highlight w:val="white"/>
          <w:u w:val="single"/>
          <w:rtl w:val="0"/>
        </w:rPr>
        <w:t xml:space="preserve">Commission Report 8:43pm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 Cultural and Diversity Affairs Commission    </w:t>
      </w:r>
    </w:p>
    <w:p w:rsidR="00000000" w:rsidDel="00000000" w:rsidP="00000000" w:rsidRDefault="00000000" w:rsidRPr="00000000" w14:paraId="000000AF">
      <w:pPr>
        <w:widowControl w:val="0"/>
        <w:spacing w:line="360" w:lineRule="auto"/>
        <w:ind w:left="720" w:firstLine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Housing Commision</w:t>
        <w:tab/>
        <w:tab/>
      </w:r>
    </w:p>
    <w:p w:rsidR="00000000" w:rsidDel="00000000" w:rsidP="00000000" w:rsidRDefault="00000000" w:rsidRPr="00000000" w14:paraId="000000B2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Mental Health Commission </w:t>
      </w:r>
    </w:p>
    <w:p w:rsidR="00000000" w:rsidDel="00000000" w:rsidP="00000000" w:rsidRDefault="00000000" w:rsidRPr="00000000" w14:paraId="000000B4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Sexual Violence Commission</w:t>
      </w:r>
    </w:p>
    <w:p w:rsidR="00000000" w:rsidDel="00000000" w:rsidP="00000000" w:rsidRDefault="00000000" w:rsidRPr="00000000" w14:paraId="000000B6">
      <w:pPr>
        <w:widowControl w:val="0"/>
        <w:spacing w:line="360" w:lineRule="auto"/>
        <w:ind w:left="720" w:firstLine="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7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Golshani: Could you elaborate more on project cfi</w:t>
      </w:r>
    </w:p>
    <w:p w:rsidR="00000000" w:rsidDel="00000000" w:rsidP="00000000" w:rsidRDefault="00000000" w:rsidRPr="00000000" w14:paraId="000000B8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A: Collaboration from an individual at USC on digital safety on SVSH over cyberspace safety so it would be prevention education and sharing experiences and safety across the internet. </w:t>
      </w:r>
    </w:p>
    <w:p w:rsidR="00000000" w:rsidDel="00000000" w:rsidP="00000000" w:rsidRDefault="00000000" w:rsidRPr="00000000" w14:paraId="000000B9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Health Advocacy Commission</w:t>
      </w:r>
    </w:p>
    <w:p w:rsidR="00000000" w:rsidDel="00000000" w:rsidP="00000000" w:rsidRDefault="00000000" w:rsidRPr="00000000" w14:paraId="000000BB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Disabled Students Commission</w:t>
      </w:r>
    </w:p>
    <w:p w:rsidR="00000000" w:rsidDel="00000000" w:rsidP="00000000" w:rsidRDefault="00000000" w:rsidRPr="00000000" w14:paraId="000000BD">
      <w:pPr>
        <w:widowControl w:val="0"/>
        <w:spacing w:line="360" w:lineRule="auto"/>
        <w:ind w:left="720" w:firstLine="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Menstrual Equity Commission</w:t>
      </w:r>
    </w:p>
    <w:p w:rsidR="00000000" w:rsidDel="00000000" w:rsidP="00000000" w:rsidRDefault="00000000" w:rsidRPr="00000000" w14:paraId="000000C0">
      <w:pPr>
        <w:widowControl w:val="0"/>
        <w:spacing w:line="360" w:lineRule="auto"/>
        <w:ind w:left="720" w:firstLine="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Golshani: You need support with campus operations from ghosting, what can we do as senators on this, so people can respond? What can we do?                        </w:t>
      </w:r>
    </w:p>
    <w:p w:rsidR="00000000" w:rsidDel="00000000" w:rsidP="00000000" w:rsidRDefault="00000000" w:rsidRPr="00000000" w14:paraId="000000C2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Chartered Officials Reports 9:15 pm</w:t>
      </w:r>
    </w:p>
    <w:p w:rsidR="00000000" w:rsidDel="00000000" w:rsidP="00000000" w:rsidRDefault="00000000" w:rsidRPr="00000000" w14:paraId="000000C4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Innovative Design</w:t>
      </w:r>
    </w:p>
    <w:p w:rsidR="00000000" w:rsidDel="00000000" w:rsidP="00000000" w:rsidRDefault="00000000" w:rsidRPr="00000000" w14:paraId="000000C5">
      <w:pPr>
        <w:widowControl w:val="0"/>
        <w:spacing w:line="360" w:lineRule="auto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36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Committee Reports 9:20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Finance Committee, Senator Alrai</w:t>
      </w:r>
    </w:p>
    <w:p w:rsidR="00000000" w:rsidDel="00000000" w:rsidP="00000000" w:rsidRDefault="00000000" w:rsidRPr="00000000" w14:paraId="000000C9">
      <w:pPr>
        <w:widowControl w:val="0"/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University and External Affairs Committee, Senator Teran</w:t>
      </w:r>
    </w:p>
    <w:p w:rsidR="00000000" w:rsidDel="00000000" w:rsidP="00000000" w:rsidRDefault="00000000" w:rsidRPr="00000000" w14:paraId="000000CB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360" w:lineRule="auto"/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Governance and Internal Affairs Committee, Transfer Rep De Miguel</w:t>
      </w:r>
    </w:p>
    <w:p w:rsidR="00000000" w:rsidDel="00000000" w:rsidP="00000000" w:rsidRDefault="00000000" w:rsidRPr="00000000" w14:paraId="000000CD">
      <w:pPr>
        <w:widowControl w:val="0"/>
        <w:spacing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360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Public Comment on Consent Calendar 9:23pm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1"/>
        <w:keepNext w:val="0"/>
        <w:keepLines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vnqxezb0mnwd" w:id="6"/>
      <w:bookmarkEnd w:id="6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Consent Calendar 9:24 PM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Senator Memon motions to add item C SR25/26 - 023 on Consent Calendar to immediate consideration seconded by Transfer Rep De Miguel.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Transfer Rep De Miguel motions to approve item D-P on the consent calendar seconded by Senator Golshani. Motion passed with unanimous 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0" w:tblpY="0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81.384976525822"/>
        <w:gridCol w:w="1681.8075117370893"/>
        <w:gridCol w:w="1681.8075117370893"/>
        <w:tblGridChange w:id="0">
          <w:tblGrid>
            <w:gridCol w:w="5981.384976525822"/>
            <w:gridCol w:w="1681.8075117370893"/>
            <w:gridCol w:w="1681.807511737089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Vote (Yes- No- Abs)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rHeight w:val="487.467773437500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360" w:lineRule="auto"/>
              <w:ind w:left="0" w:firstLine="0"/>
              <w:rPr/>
            </w:pPr>
            <w:hyperlink r:id="rId2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25/26-020 In Support of Mental Health Statements and Resources in Syllabi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360" w:lineRule="auto"/>
              <w:ind w:left="0" w:firstLine="0"/>
              <w:rPr>
                <w:color w:val="222222"/>
                <w:highlight w:val="white"/>
              </w:rPr>
            </w:pPr>
            <w:hyperlink r:id="rId2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25/26-022 Amending ASUCBL 1110 Onboarding &amp; Leadership Development.docx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360" w:lineRule="auto"/>
              <w:ind w:left="0" w:firstLine="0"/>
              <w:rPr/>
            </w:pPr>
            <w:hyperlink r:id="rId24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25/26-024 Bike Legislation.docx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hyperlink r:id="rId2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FR 25/26 F11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hyperlink r:id="rId2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2025-11-17 University and External Affairs Committee Agenda &amp;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360" w:lineRule="auto"/>
              <w:ind w:left="0" w:firstLine="0"/>
              <w:rPr/>
            </w:pPr>
            <w:hyperlink r:id="rId27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11/17/2025 Finance Committee Agenda and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360" w:lineRule="auto"/>
              <w:ind w:left="0" w:firstLine="0"/>
              <w:rPr/>
            </w:pPr>
            <w:hyperlink r:id="rId28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2025-11-17 Governance and Internal Affairs Committee Agenda &amp;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Jada Yang nomination for Inter-Semester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Sydney Scott nomination for Inter-Semester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Bella Santos nomination for Inter-Semester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Margaret Solomon nomination for Inter-Semester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Sydnee Thy nomination for Inter-Semester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 Somer Alrai nomination for Inter-Semester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Talia Golshani nomination for Inter-Semester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ind w:left="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Lucia Stankovic nomination for Inter-Semester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Nomination of Shelby Coleman as Chief Personnel Officer</w:t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</w:t>
            </w:r>
          </w:p>
        </w:tc>
      </w:tr>
    </w:tbl>
    <w:p w:rsidR="00000000" w:rsidDel="00000000" w:rsidP="00000000" w:rsidRDefault="00000000" w:rsidRPr="00000000" w14:paraId="000001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1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177">
      <w:pPr>
        <w:widowControl w:val="0"/>
        <w:spacing w:line="360" w:lineRule="auto"/>
        <w:rPr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spacing w:line="24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Immediate Consideration </w:t>
      </w:r>
      <w:r w:rsidDel="00000000" w:rsidR="00000000" w:rsidRPr="00000000">
        <w:rPr>
          <w:b w:val="1"/>
          <w:bCs w:val="1"/>
          <w:u w:val="single"/>
          <w:rtl w:val="0"/>
        </w:rPr>
        <w:t xml:space="preserve">9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:</w:t>
      </w:r>
      <w:r w:rsidDel="00000000" w:rsidR="00000000" w:rsidRPr="00000000">
        <w:rPr>
          <w:b w:val="1"/>
          <w:bCs w:val="1"/>
          <w:u w:val="single"/>
          <w:rtl w:val="0"/>
        </w:rPr>
        <w:t xml:space="preserve">27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 PM</w:t>
      </w:r>
    </w:p>
    <w:p w:rsidR="00000000" w:rsidDel="00000000" w:rsidP="00000000" w:rsidRDefault="00000000" w:rsidRPr="00000000" w14:paraId="0000017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Memon motions for informal discussion for  five minutes second by Senator Thy. Motion passed with unanimous consent. </w:t>
      </w:r>
    </w:p>
    <w:p w:rsidR="00000000" w:rsidDel="00000000" w:rsidP="00000000" w:rsidRDefault="00000000" w:rsidRPr="00000000" w14:paraId="0000017C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Memon motions to end informal discussion. </w:t>
      </w:r>
    </w:p>
    <w:p w:rsidR="00000000" w:rsidDel="00000000" w:rsidP="00000000" w:rsidRDefault="00000000" w:rsidRPr="00000000" w14:paraId="0000017D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Memon motions to amend SR25/26-023 seconded by Senator Alrai. Motion passed with unanimous consent. </w:t>
      </w:r>
    </w:p>
    <w:p w:rsidR="00000000" w:rsidDel="00000000" w:rsidP="00000000" w:rsidRDefault="00000000" w:rsidRPr="00000000" w14:paraId="0000017E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Senator Memon moves to approve SR25/26-023 as amended, seconded by Senator Scott. Motion passed with unanimous consent. 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57.201646090534"/>
        <w:gridCol w:w="1261.3991769547324"/>
        <w:gridCol w:w="1261.3991769547324"/>
        <w:tblGridChange w:id="0">
          <w:tblGrid>
            <w:gridCol w:w="6957.201646090534"/>
            <w:gridCol w:w="1261.3991769547324"/>
            <w:gridCol w:w="1261.3991769547324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Vote (Yes- No- Abs)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36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hyperlink r:id="rId29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25/26-023 Implementing Protection Measures for Muslim, Palestinian and Allied Students in Response to CAIR’s Designation of UCB as a ‘Hostile Campus’ Campus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20-0-0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passed</w:t>
            </w:r>
          </w:p>
        </w:tc>
      </w:tr>
    </w:tbl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8zllkj4pnl8w" w:id="7"/>
      <w:bookmarkEnd w:id="7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New Business 9:35 pm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25"/>
        <w:gridCol w:w="1455"/>
        <w:tblGridChange w:id="0">
          <w:tblGrid>
            <w:gridCol w:w="8025"/>
            <w:gridCol w:w="14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6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Committee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25/26-025 Resolution to Establish the ASUC Campus Worker Mutual Aid Fund for the 2025-2026 School Year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25/26-026 Mandating the Usage of Subtitles in ASUC Meetings in the Senate Chambers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Gov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SR 25/26-027  Establishing the Student-Campus Leadership Safety Communication Initiative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25/26-028 - Recognizing International Day of Persons with Disabilities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4">
              <w:r w:rsidDel="00000000" w:rsidR="00000000" w:rsidRPr="00000000">
                <w:rPr>
                  <w:color w:val="0000ee"/>
                  <w:highlight w:val="white"/>
                  <w:u w:val="single"/>
                  <w:rtl w:val="0"/>
                </w:rPr>
                <w:t xml:space="preserve">SR 25/26 029 - Ensuring Student Expression and Public Health in Response to UC Masking Policy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25/26-030: Recognition of Hindu Heritage Month in October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SR 25/26-032 Recognizing and Standing in Solidarity with the Persecuted Christian Communities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25/26-033  Reinstating the ASUC Interfaith Student Ad-Hoc Committee for Spring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Gov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25/26-034 Institutionalizing the Preservation of the Cal NERDS Center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 comm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line="360" w:lineRule="auto"/>
              <w:ind w:left="0" w:firstLine="0"/>
              <w:rPr>
                <w:highlight w:val="white"/>
              </w:rPr>
            </w:pPr>
            <w:hyperlink r:id="rId3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SR 25/26 - 035: Recognizing November as Transgender Awareness Month and November 20th as Transgender Day of Remembrance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 comm</w:t>
            </w:r>
          </w:p>
        </w:tc>
      </w:tr>
    </w:tbl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1"/>
        <w:keepNext w:val="0"/>
        <w:widowControl w:val="0"/>
        <w:spacing w:after="200" w:before="0" w:line="240" w:lineRule="auto"/>
        <w:rPr>
          <w:b w:val="1"/>
          <w:bCs w:val="1"/>
          <w:sz w:val="22"/>
          <w:szCs w:val="22"/>
          <w:u w:val="single"/>
        </w:rPr>
      </w:pPr>
      <w:bookmarkStart w:colFirst="0" w:colLast="0" w:name="_75lptbf91a9d" w:id="8"/>
      <w:bookmarkEnd w:id="8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Announcements  at 9:38 PM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Senator Scott motions to extend Senator Golshani time by 2 minutes seconded by Senator Rodarte. Motion passed with unanimous consent. 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Motion by Reading to extend Senator Thy time by 1 minute seconded by Senator Canin. Motion passed with unanimous consent.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Motion by Yang to extend senator Reading time by 1 minute seconded by senator Canin. Motion passed with unanimous consent. 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Motion by Senator Reading to extend Senator Nunez Rivera time by 1 minute seconded by Senator Scott. 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Motion by Senator Memon to extend Transfer Rep De Miguel time by 3 minutes Seconded by Senator Scott. Motion passed with unanimous consent.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Senator Memon motions to recognize South Asian Representative seconded by Transfer Rep De Miguel. Motion passed with unanimous consent. 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F">
      <w:pPr>
        <w:pStyle w:val="Heading1"/>
        <w:keepNext w:val="0"/>
        <w:widowControl w:val="0"/>
        <w:spacing w:after="200" w:before="0" w:line="240" w:lineRule="auto"/>
        <w:rPr/>
      </w:pPr>
      <w:bookmarkStart w:colFirst="0" w:colLast="0" w:name="_1jn1wjujpvv9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Adjournment at  10:21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600"/>
        <w:gridCol w:w="480"/>
        <w:gridCol w:w="600"/>
        <w:gridCol w:w="1380"/>
        <w:gridCol w:w="615"/>
        <w:gridCol w:w="570"/>
        <w:gridCol w:w="615"/>
        <w:gridCol w:w="1245"/>
        <w:gridCol w:w="615"/>
        <w:gridCol w:w="615"/>
        <w:gridCol w:w="615"/>
        <w:tblGridChange w:id="0">
          <w:tblGrid>
            <w:gridCol w:w="1320"/>
            <w:gridCol w:w="600"/>
            <w:gridCol w:w="480"/>
            <w:gridCol w:w="600"/>
            <w:gridCol w:w="1380"/>
            <w:gridCol w:w="615"/>
            <w:gridCol w:w="570"/>
            <w:gridCol w:w="615"/>
            <w:gridCol w:w="1245"/>
            <w:gridCol w:w="615"/>
            <w:gridCol w:w="615"/>
            <w:gridCol w:w="615"/>
          </w:tblGrid>
        </w:tblGridChange>
      </w:tblGrid>
      <w:tr>
        <w:trPr>
          <w:cantSplit w:val="0"/>
          <w:tblHeader w:val="1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Aye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Abnusy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Solomon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Beardsley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Mendez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Miguel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Golshani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21D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Senator Reading motions to adjourn, seconded by Senator Yang. Motion passed with unanimous consent.  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right"/>
        <w:rPr/>
      </w:pPr>
      <w:r w:rsidDel="00000000" w:rsidR="00000000" w:rsidRPr="00000000">
        <w:rPr>
          <w:rtl w:val="0"/>
        </w:rPr>
        <w:t xml:space="preserve">Respectfully submitted by Isabelle Escobar</w:t>
      </w:r>
    </w:p>
    <w:p w:rsidR="00000000" w:rsidDel="00000000" w:rsidP="00000000" w:rsidRDefault="00000000" w:rsidRPr="00000000" w14:paraId="00000221">
      <w:pPr>
        <w:jc w:val="right"/>
        <w:rPr/>
      </w:pPr>
      <w:r w:rsidDel="00000000" w:rsidR="00000000" w:rsidRPr="00000000">
        <w:rPr>
          <w:rtl w:val="0"/>
        </w:rPr>
        <w:t xml:space="preserve">Nov 19th, 2025</w:t>
      </w:r>
    </w:p>
    <w:p w:rsidR="00000000" w:rsidDel="00000000" w:rsidP="00000000" w:rsidRDefault="00000000" w:rsidRPr="00000000" w14:paraId="00000222">
      <w:pPr>
        <w:jc w:val="right"/>
        <w:rPr/>
      </w:pPr>
      <w:r w:rsidDel="00000000" w:rsidR="00000000" w:rsidRPr="00000000">
        <w:rPr>
          <w:rtl w:val="0"/>
        </w:rPr>
        <w:t xml:space="preserve">Approved by the ASUC Senate on Dec 3, 2025</w:t>
      </w:r>
    </w:p>
    <w:p w:rsidR="00000000" w:rsidDel="00000000" w:rsidP="00000000" w:rsidRDefault="00000000" w:rsidRPr="00000000" w14:paraId="00000223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R5ECPoZj4yOyNwrecurqq_v9cAW_e9fWvkZQpchbnZU/edit?usp=sharing" TargetMode="External"/><Relationship Id="rId22" Type="http://schemas.openxmlformats.org/officeDocument/2006/relationships/hyperlink" Target="https://docs.google.com/document/d/1Wvo3jalEsNgPglITuYj5FN5bZNeJilft5cPHm2-YOY4/edit?usp=sharing" TargetMode="External"/><Relationship Id="rId21" Type="http://schemas.openxmlformats.org/officeDocument/2006/relationships/hyperlink" Target="https://drive.google.com/file/d/19YE8LXNX62Tw8JFbUZUQUQ7mLaNkFIGy/view?usp=sharing" TargetMode="External"/><Relationship Id="rId24" Type="http://schemas.openxmlformats.org/officeDocument/2006/relationships/hyperlink" Target="https://docs.google.com/document/d/12r6XHRFQ9EoqFuqG2oJMTt9n-uvsLb9L/edit?usp=sharing&amp;ouid=101204538701646026107&amp;rtpof=true&amp;sd=true" TargetMode="External"/><Relationship Id="rId23" Type="http://schemas.openxmlformats.org/officeDocument/2006/relationships/hyperlink" Target="https://docs.google.com/document/d/1yxRsWmph6xM6LGLr2cNoh6gcxZP3P_9d/edit?usp=sharing&amp;ouid=101204538701646026107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8iay7_vNi-ZjpTVI6hdBd88BMwXkSk3b5ijmxOBqJc/edit#heading=h.3ina297hmy1h" TargetMode="External"/><Relationship Id="rId26" Type="http://schemas.openxmlformats.org/officeDocument/2006/relationships/hyperlink" Target="https://docs.google.com/document/d/1LAtIsPHmuZlxVwa7I2AKQuPOKjRhO8spKYGC6ni4WGc/edit?usp=drive_link" TargetMode="External"/><Relationship Id="rId25" Type="http://schemas.openxmlformats.org/officeDocument/2006/relationships/hyperlink" Target="https://drive.google.com/drive/folders/18kzEheGICZKLFd3lEZi5AXYfdYhCZOIk?usp=drive_link" TargetMode="External"/><Relationship Id="rId28" Type="http://schemas.openxmlformats.org/officeDocument/2006/relationships/hyperlink" Target="https://docs.google.com/document/d/1rnNKgjk6orYQ5S34D1uI324YvwkDeO9M1Nt7Ih1YQhY/edit?usp=drive_link" TargetMode="External"/><Relationship Id="rId27" Type="http://schemas.openxmlformats.org/officeDocument/2006/relationships/hyperlink" Target="https://docs.google.com/document/d/12xXL9lM0UW6nrW4fufQBQqCR56Jid1HGh7XWW5LgJqw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docs.google.com/document/d/13wpcybmLS3F8iOCNSeSFdIiFrEfVcyZyNsRfVuqz9N0/edit?usp=sharing" TargetMode="External"/><Relationship Id="rId7" Type="http://schemas.openxmlformats.org/officeDocument/2006/relationships/hyperlink" Target="https://docs.google.com/document/d/1i8iay7_vNi-ZjpTVI6hdBd88BMwXkSk3b5ijmxOBqJc/edit#heading=h.umoqwjacku3j" TargetMode="External"/><Relationship Id="rId8" Type="http://schemas.openxmlformats.org/officeDocument/2006/relationships/hyperlink" Target="https://docs.google.com/document/d/1i8iay7_vNi-ZjpTVI6hdBd88BMwXkSk3b5ijmxOBqJc/edit#heading=h.ik7b50vmqe6h" TargetMode="External"/><Relationship Id="rId31" Type="http://schemas.openxmlformats.org/officeDocument/2006/relationships/hyperlink" Target="https://docs.google.com/document/d/1iO4hXlyuR8xlnnq7yTLp5U8SB5pzg1Ly1yN1eXVWOx4/edit?usp=drive_link" TargetMode="External"/><Relationship Id="rId30" Type="http://schemas.openxmlformats.org/officeDocument/2006/relationships/hyperlink" Target="https://docs.google.com/document/d/15UQvzHlRUK5xRvJLbA8UIdVPEfzx1ejREoNih906Ug0/edit?usp=drive_link" TargetMode="External"/><Relationship Id="rId11" Type="http://schemas.openxmlformats.org/officeDocument/2006/relationships/hyperlink" Target="https://docs.google.com/document/d/1i8iay7_vNi-ZjpTVI6hdBd88BMwXkSk3b5ijmxOBqJc/edit#heading=h.749gsfqd4i38" TargetMode="External"/><Relationship Id="rId33" Type="http://schemas.openxmlformats.org/officeDocument/2006/relationships/hyperlink" Target="https://docs.google.com/document/d/1mNLfoGGHJBX7P1arOsbL9WwOPUZ9TY9njnychrYOl1w/edit?usp=drive_link" TargetMode="External"/><Relationship Id="rId10" Type="http://schemas.openxmlformats.org/officeDocument/2006/relationships/hyperlink" Target="https://docs.google.com/document/d/1i8iay7_vNi-ZjpTVI6hdBd88BMwXkSk3b5ijmxOBqJc/edit#heading=h.rsp26cyq7e2m" TargetMode="External"/><Relationship Id="rId32" Type="http://schemas.openxmlformats.org/officeDocument/2006/relationships/hyperlink" Target="https://docs.google.com/document/d/1j07CnQH6rsz4yauK16ETlbeMFI8PSr1sNJPJIH2-5WQ/edit?usp=drive_link" TargetMode="External"/><Relationship Id="rId13" Type="http://schemas.openxmlformats.org/officeDocument/2006/relationships/hyperlink" Target="https://docs.google.com/document/d/1i8iay7_vNi-ZjpTVI6hdBd88BMwXkSk3b5ijmxOBqJc/edit#heading=h.3bnvt53hvqc0" TargetMode="External"/><Relationship Id="rId35" Type="http://schemas.openxmlformats.org/officeDocument/2006/relationships/hyperlink" Target="https://docs.google.com/document/d/1hDq4eMNZs03GoQX4QQhCj1jG3gCE4Wiv_pAOz7Rg92U/edit?usp=sharing" TargetMode="External"/><Relationship Id="rId12" Type="http://schemas.openxmlformats.org/officeDocument/2006/relationships/hyperlink" Target="https://docs.google.com/document/d/1i8iay7_vNi-ZjpTVI6hdBd88BMwXkSk3b5ijmxOBqJc/edit#heading=h.dbj4irdv5s75" TargetMode="External"/><Relationship Id="rId34" Type="http://schemas.openxmlformats.org/officeDocument/2006/relationships/hyperlink" Target="https://docs.google.com/document/d/1u9qZjIdlkzv21qjRvBMG3t5drLbDhIU4J1zTWV5jU3M/edit?usp=sharing" TargetMode="External"/><Relationship Id="rId15" Type="http://schemas.openxmlformats.org/officeDocument/2006/relationships/hyperlink" Target="https://docs.google.com/presentation/d/1UN7Eplmb7OQ3ifrIo0RjOiWEcMnsl4PBghIZHfrHTnw/edit?slide=id.p#slide=id.p" TargetMode="External"/><Relationship Id="rId37" Type="http://schemas.openxmlformats.org/officeDocument/2006/relationships/hyperlink" Target="https://docs.google.com/document/d/17mUhfB3LPw11luNMO4wRpoVzu_4eB0pwSB1p_Lp_2HI/edit?usp=sharing" TargetMode="External"/><Relationship Id="rId14" Type="http://schemas.openxmlformats.org/officeDocument/2006/relationships/hyperlink" Target="https://docs.google.com/document/d/1i8iay7_vNi-ZjpTVI6hdBd88BMwXkSk3b5ijmxOBqJc/edit#heading=h.fur0i23hkayo" TargetMode="External"/><Relationship Id="rId36" Type="http://schemas.openxmlformats.org/officeDocument/2006/relationships/hyperlink" Target="https://docs.google.com/document/d/1eahQK6FAgmbDI4Mis4ZsDEOMYNUSdQqUwPIkRq3XX_M/edit?usp=drive_link" TargetMode="External"/><Relationship Id="rId17" Type="http://schemas.openxmlformats.org/officeDocument/2006/relationships/hyperlink" Target="https://docs.google.com/presentation/d/1LquSoBJi_gYyxP-DMsASQ9VlbVsOq9CHHyN8CL0wSOU/edit?usp=sharing" TargetMode="External"/><Relationship Id="rId39" Type="http://schemas.openxmlformats.org/officeDocument/2006/relationships/hyperlink" Target="https://docs.google.com/document/d/12laf-vm43EzUTmY95C1NxmT_6W30uzTZExGIPgU41dA/edit?usp=drive_link" TargetMode="External"/><Relationship Id="rId16" Type="http://schemas.openxmlformats.org/officeDocument/2006/relationships/hyperlink" Target="https://www.canva.com/design/DAG5M07boYo/K3qkPJhdDNOXug9bCCX4Vw/edit?utm_content=DAG5M07boYo&amp;utm_campaign=designshare&amp;utm_medium=link2&amp;utm_source=sharebutton" TargetMode="External"/><Relationship Id="rId38" Type="http://schemas.openxmlformats.org/officeDocument/2006/relationships/hyperlink" Target="https://docs.google.com/document/d/1f9uU5xPyIklmu44Ps7Na_L9e7GjvVVN7PJ8umY1xsTs/edit?usp=sharing" TargetMode="External"/><Relationship Id="rId19" Type="http://schemas.openxmlformats.org/officeDocument/2006/relationships/hyperlink" Target="https://docs.google.com/presentation/d/1L1KchtsBnedQ1KmocQDf4WcCDgDiA8psta1jesZhALU/edit?usp=sharing" TargetMode="External"/><Relationship Id="rId18" Type="http://schemas.openxmlformats.org/officeDocument/2006/relationships/hyperlink" Target="https://docs.google.com/presentation/d/16njD3hNnmhHXLZo6-z3a6ihH0dfpMondyL5Lk9tW1V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