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mbria" w:cs="Cambria" w:eastAsia="Cambria" w:hAnsi="Cambria"/>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Senate Resolution No. 2026/2027-XXXX</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rtl w:val="0"/>
        </w:rPr>
        <w:t xml:space="preserve">For the Transfers Act</w:t>
      </w:r>
      <w:r w:rsidDel="00000000" w:rsidR="00000000" w:rsidRPr="00000000">
        <w:rPr>
          <w:rtl w:val="0"/>
        </w:rPr>
      </w:r>
    </w:p>
    <w:p w:rsidR="00000000" w:rsidDel="00000000" w:rsidP="00000000" w:rsidRDefault="00000000" w:rsidRPr="00000000" w14:paraId="00000005">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Varsha Torpunuri (ASUC Transfer Student Representative)</w:t>
      </w:r>
    </w:p>
    <w:p w:rsidR="00000000" w:rsidDel="00000000" w:rsidP="00000000" w:rsidRDefault="00000000" w:rsidRPr="00000000" w14:paraId="00000008">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 </w:t>
      </w:r>
    </w:p>
    <w:p w:rsidR="00000000" w:rsidDel="00000000" w:rsidP="00000000" w:rsidRDefault="00000000" w:rsidRPr="00000000" w14:paraId="00000009">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Alec Sarkissian (OTSR Legislative &amp; Research Executive), Anahita Aftabsavar (OTSR Legislation &amp; Research Associate), Carlo Joseph Flores-Olson (OTSR Legislation &amp; Research Associate), King Chow Wong (OTSR Legislation &amp; Research Associate), Brandon Maskey (OTSR Legislation &amp; Research Chief of Staff)</w:t>
      </w:r>
    </w:p>
    <w:p w:rsidR="00000000" w:rsidDel="00000000" w:rsidP="00000000" w:rsidRDefault="00000000" w:rsidRPr="00000000" w14:paraId="0000000A">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w:t>
      </w:r>
      <w:r w:rsidDel="00000000" w:rsidR="00000000" w:rsidRPr="00000000">
        <w:rPr>
          <w:rFonts w:ascii="Georgia" w:cs="Georgia" w:eastAsia="Georgia" w:hAnsi="Georgia"/>
          <w:rtl w:val="0"/>
        </w:rPr>
        <w:t xml:space="preserve">, the office of Transfer Student Representative exists to represent the unique interests, needs, and perspectives of transfer and non-traditional students within the Associated Students of the University of California</w:t>
      </w:r>
      <w:r w:rsidDel="00000000" w:rsidR="00000000" w:rsidRPr="00000000">
        <w:rPr>
          <w:rFonts w:ascii="Georgia" w:cs="Georgia" w:eastAsia="Georgia" w:hAnsi="Georgia"/>
          <w:vertAlign w:val="superscript"/>
        </w:rPr>
        <w:footnoteReference w:customMarkFollows="0" w:id="0"/>
      </w:r>
      <w:r w:rsidDel="00000000" w:rsidR="00000000" w:rsidRPr="00000000">
        <w:rPr>
          <w:rFonts w:ascii="Georgia" w:cs="Georgia" w:eastAsia="Georgia" w:hAnsi="Georgia"/>
          <w:rtl w:val="0"/>
        </w:rPr>
        <w:t xml:space="preserve">, and the office's purpose includes connecting transfer students with resources and advocating for transfer students within ASUC and to University administrators</w:t>
      </w:r>
      <w:r w:rsidDel="00000000" w:rsidR="00000000" w:rsidRPr="00000000">
        <w:rPr>
          <w:rFonts w:ascii="Georgia" w:cs="Georgia" w:eastAsia="Georgia" w:hAnsi="Georgia"/>
          <w:vertAlign w:val="superscript"/>
        </w:rPr>
        <w:footnoteReference w:customMarkFollows="0" w:id="1"/>
      </w:r>
      <w:r w:rsidDel="00000000" w:rsidR="00000000" w:rsidRPr="00000000">
        <w:rPr>
          <w:rFonts w:ascii="Georgia" w:cs="Georgia" w:eastAsia="Georgia" w:hAnsi="Georgia"/>
          <w:rtl w:val="0"/>
        </w:rPr>
        <w:t xml:space="preserve">; and</w:t>
      </w:r>
    </w:p>
    <w:p w:rsidR="00000000" w:rsidDel="00000000" w:rsidP="00000000" w:rsidRDefault="00000000" w:rsidRPr="00000000" w14:paraId="0000000B">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0C">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w:t>
      </w:r>
      <w:r w:rsidDel="00000000" w:rsidR="00000000" w:rsidRPr="00000000">
        <w:rPr>
          <w:rFonts w:ascii="Georgia" w:cs="Georgia" w:eastAsia="Georgia" w:hAnsi="Georgia"/>
          <w:rtl w:val="0"/>
        </w:rPr>
        <w:t xml:space="preserve">, UC Berkeley recognizes transfer students as a distinct student population and maintains dedicated programs, services</w:t>
      </w:r>
      <w:r w:rsidDel="00000000" w:rsidR="00000000" w:rsidRPr="00000000">
        <w:rPr>
          <w:rFonts w:ascii="Georgia" w:cs="Georgia" w:eastAsia="Georgia" w:hAnsi="Georgia"/>
          <w:vertAlign w:val="superscript"/>
        </w:rPr>
        <w:footnoteReference w:customMarkFollows="0" w:id="2"/>
      </w:r>
      <w:r w:rsidDel="00000000" w:rsidR="00000000" w:rsidRPr="00000000">
        <w:rPr>
          <w:rFonts w:ascii="Georgia" w:cs="Georgia" w:eastAsia="Georgia" w:hAnsi="Georgia"/>
          <w:rtl w:val="0"/>
        </w:rPr>
        <w:t xml:space="preserve">, and community resources</w:t>
      </w:r>
      <w:r w:rsidDel="00000000" w:rsidR="00000000" w:rsidRPr="00000000">
        <w:rPr>
          <w:rFonts w:ascii="Georgia" w:cs="Georgia" w:eastAsia="Georgia" w:hAnsi="Georgia"/>
          <w:vertAlign w:val="superscript"/>
        </w:rPr>
        <w:footnoteReference w:customMarkFollows="0" w:id="3"/>
      </w:r>
      <w:r w:rsidDel="00000000" w:rsidR="00000000" w:rsidRPr="00000000">
        <w:rPr>
          <w:rFonts w:ascii="Georgia" w:cs="Georgia" w:eastAsia="Georgia" w:hAnsi="Georgia"/>
          <w:rtl w:val="0"/>
        </w:rPr>
        <w:t xml:space="preserve"> designed to support their successful transition</w:t>
      </w:r>
      <w:r w:rsidDel="00000000" w:rsidR="00000000" w:rsidRPr="00000000">
        <w:rPr>
          <w:rFonts w:ascii="Georgia" w:cs="Georgia" w:eastAsia="Georgia" w:hAnsi="Georgia"/>
          <w:vertAlign w:val="superscript"/>
        </w:rPr>
        <w:footnoteReference w:customMarkFollows="0" w:id="4"/>
      </w:r>
      <w:r w:rsidDel="00000000" w:rsidR="00000000" w:rsidRPr="00000000">
        <w:rPr>
          <w:rFonts w:ascii="Georgia" w:cs="Georgia" w:eastAsia="Georgia" w:hAnsi="Georgia"/>
          <w:rtl w:val="0"/>
        </w:rPr>
        <w:t xml:space="preserve"> from other colleges and universities to the academic and cultural environment of Berkeley; and</w:t>
      </w:r>
    </w:p>
    <w:p w:rsidR="00000000" w:rsidDel="00000000" w:rsidP="00000000" w:rsidRDefault="00000000" w:rsidRPr="00000000" w14:paraId="0000000D">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0E">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w:t>
      </w:r>
      <w:r w:rsidDel="00000000" w:rsidR="00000000" w:rsidRPr="00000000">
        <w:rPr>
          <w:rFonts w:ascii="Georgia" w:cs="Georgia" w:eastAsia="Georgia" w:hAnsi="Georgia"/>
          <w:rtl w:val="0"/>
        </w:rPr>
        <w:t xml:space="preserve">, representation is strengthened when the holder of the office shares the lived experience of the constituency they are elected to represent</w:t>
      </w:r>
      <w:r w:rsidDel="00000000" w:rsidR="00000000" w:rsidRPr="00000000">
        <w:rPr>
          <w:rFonts w:ascii="Georgia" w:cs="Georgia" w:eastAsia="Georgia" w:hAnsi="Georgia"/>
          <w:vertAlign w:val="superscript"/>
        </w:rPr>
        <w:footnoteReference w:customMarkFollows="0" w:id="5"/>
      </w:r>
      <w:r w:rsidDel="00000000" w:rsidR="00000000" w:rsidRPr="00000000">
        <w:rPr>
          <w:rFonts w:ascii="Georgia" w:cs="Georgia" w:eastAsia="Georgia" w:hAnsi="Georgia"/>
          <w:rtl w:val="0"/>
        </w:rPr>
        <w:t xml:space="preserve">, especially in the case of a dedicated role for representing a marginalized student population, with unique challenges and institutional barriers; and</w:t>
      </w:r>
    </w:p>
    <w:p w:rsidR="00000000" w:rsidDel="00000000" w:rsidP="00000000" w:rsidRDefault="00000000" w:rsidRPr="00000000" w14:paraId="0000000F">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10">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other University of California student governments have established constituency-based eligibility requirements, including UC Santa Barbara Associated Students elections guidance requiring its Transfer Senator to have transferred from another university or junior college while also establishing requirements for other positions (i.e. International Senator must be an international student)</w:t>
      </w:r>
      <w:r w:rsidDel="00000000" w:rsidR="00000000" w:rsidRPr="00000000">
        <w:rPr>
          <w:rFonts w:ascii="Georgia" w:cs="Georgia" w:eastAsia="Georgia" w:hAnsi="Georgia"/>
          <w:vertAlign w:val="superscript"/>
        </w:rPr>
        <w:footnoteReference w:customMarkFollows="0" w:id="6"/>
      </w:r>
      <w:r w:rsidDel="00000000" w:rsidR="00000000" w:rsidRPr="00000000">
        <w:rPr>
          <w:rFonts w:ascii="Georgia" w:cs="Georgia" w:eastAsia="Georgia" w:hAnsi="Georgia"/>
          <w:rtl w:val="0"/>
        </w:rPr>
        <w:t xml:space="preserve">. Similarly, an ASUCI constitutional provision requires school-based senators to be enrolled in the academic units they represent</w:t>
      </w:r>
      <w:r w:rsidDel="00000000" w:rsidR="00000000" w:rsidRPr="00000000">
        <w:rPr>
          <w:rFonts w:ascii="Georgia" w:cs="Georgia" w:eastAsia="Georgia" w:hAnsi="Georgia"/>
          <w:vertAlign w:val="superscript"/>
        </w:rPr>
        <w:footnoteReference w:customMarkFollows="0" w:id="7"/>
      </w:r>
      <w:r w:rsidDel="00000000" w:rsidR="00000000" w:rsidRPr="00000000">
        <w:rPr>
          <w:rFonts w:ascii="Georgia" w:cs="Georgia" w:eastAsia="Georgia" w:hAnsi="Georgia"/>
          <w:rtl w:val="0"/>
        </w:rPr>
        <w:t xml:space="preserve">; and</w:t>
      </w:r>
    </w:p>
    <w:p w:rsidR="00000000" w:rsidDel="00000000" w:rsidP="00000000" w:rsidRDefault="00000000" w:rsidRPr="00000000" w14:paraId="00000011">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12">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w:t>
      </w:r>
      <w:r w:rsidDel="00000000" w:rsidR="00000000" w:rsidRPr="00000000">
        <w:rPr>
          <w:rFonts w:ascii="Georgia" w:cs="Georgia" w:eastAsia="Georgia" w:hAnsi="Georgia"/>
          <w:rtl w:val="0"/>
        </w:rPr>
        <w:t xml:space="preserve">, the University of California, Berkeley distinguishes transfer students from students who earn college credit while enrolled in high school, defining transfer students on the basis of college or university coursework completed after high school</w:t>
      </w:r>
      <w:r w:rsidDel="00000000" w:rsidR="00000000" w:rsidRPr="00000000">
        <w:rPr>
          <w:rFonts w:ascii="Georgia" w:cs="Georgia" w:eastAsia="Georgia" w:hAnsi="Georgia"/>
          <w:vertAlign w:val="superscript"/>
        </w:rPr>
        <w:footnoteReference w:customMarkFollows="0" w:id="8"/>
      </w:r>
      <w:r w:rsidDel="00000000" w:rsidR="00000000" w:rsidRPr="00000000">
        <w:rPr>
          <w:rFonts w:ascii="Georgia" w:cs="Georgia" w:eastAsia="Georgia" w:hAnsi="Georgia"/>
          <w:rtl w:val="0"/>
        </w:rPr>
        <w:t xml:space="preserve">; </w:t>
      </w:r>
    </w:p>
    <w:p w:rsidR="00000000" w:rsidDel="00000000" w:rsidP="00000000" w:rsidRDefault="00000000" w:rsidRPr="00000000" w14:paraId="00000013">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4">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 </w:t>
      </w:r>
      <w:r w:rsidDel="00000000" w:rsidR="00000000" w:rsidRPr="00000000">
        <w:rPr>
          <w:rFonts w:ascii="Georgia" w:cs="Georgia" w:eastAsia="Georgia" w:hAnsi="Georgia"/>
          <w:rtl w:val="0"/>
        </w:rPr>
        <w:t xml:space="preserve">the absence of an eligibility requirement allows the office to be held by a student who has not experienced the transfer process at the University of California, Berkeley; and</w:t>
      </w:r>
    </w:p>
    <w:p w:rsidR="00000000" w:rsidDel="00000000" w:rsidP="00000000" w:rsidRDefault="00000000" w:rsidRPr="00000000" w14:paraId="00000015">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WHEREAS</w:t>
      </w:r>
      <w:r w:rsidDel="00000000" w:rsidR="00000000" w:rsidRPr="00000000">
        <w:rPr>
          <w:rFonts w:ascii="Georgia" w:cs="Georgia" w:eastAsia="Georgia" w:hAnsi="Georgia"/>
          <w:rtl w:val="0"/>
        </w:rPr>
        <w:t xml:space="preserve">, currently Article II, Section 9(e) of the ASUC Constitution reads: “There shall be no requirement that allows transfer students to run for this position”; and </w:t>
      </w:r>
    </w:p>
    <w:p w:rsidR="00000000" w:rsidDel="00000000" w:rsidP="00000000" w:rsidRDefault="00000000" w:rsidRPr="00000000" w14:paraId="00000017">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line="240" w:lineRule="auto"/>
        <w:rPr>
          <w:rFonts w:ascii="Georgia" w:cs="Georgia" w:eastAsia="Georgia" w:hAnsi="Georgia"/>
        </w:rPr>
      </w:pPr>
      <w:r w:rsidDel="00000000" w:rsidR="00000000" w:rsidRPr="00000000">
        <w:rPr>
          <w:rFonts w:ascii="Georgia" w:cs="Georgia" w:eastAsia="Georgia" w:hAnsi="Georgia"/>
          <w:b w:val="1"/>
          <w:bCs w:val="1"/>
          <w:rtl w:val="0"/>
        </w:rPr>
        <w:t xml:space="preserve">THEREFORE BE IT RESOLVED</w:t>
      </w:r>
      <w:r w:rsidDel="00000000" w:rsidR="00000000" w:rsidRPr="00000000">
        <w:rPr>
          <w:rFonts w:ascii="Georgia" w:cs="Georgia" w:eastAsia="Georgia" w:hAnsi="Georgia"/>
          <w:rtl w:val="0"/>
        </w:rPr>
        <w:t xml:space="preserve">, that Article II, Section 9(e) of the ASUC Constitution is hereby stricken in its entirety and replaced with the following language:</w:t>
      </w:r>
    </w:p>
    <w:p w:rsidR="00000000" w:rsidDel="00000000" w:rsidP="00000000" w:rsidRDefault="00000000" w:rsidRPr="00000000" w14:paraId="00000019">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1A">
      <w:pPr>
        <w:spacing w:line="240" w:lineRule="auto"/>
        <w:rPr>
          <w:rFonts w:ascii="Georgia" w:cs="Georgia" w:eastAsia="Georgia" w:hAnsi="Georgia"/>
        </w:rPr>
      </w:pPr>
      <w:r w:rsidDel="00000000" w:rsidR="00000000" w:rsidRPr="00000000">
        <w:rPr>
          <w:rFonts w:ascii="Georgia" w:cs="Georgia" w:eastAsia="Georgia" w:hAnsi="Georgia"/>
          <w:rtl w:val="0"/>
        </w:rPr>
        <w:t xml:space="preserve">“(e) Only transfer students shall be eligible to run for, be elected to, or hold the office of Transfer Student Representative.</w:t>
      </w:r>
    </w:p>
    <w:p w:rsidR="00000000" w:rsidDel="00000000" w:rsidP="00000000" w:rsidRDefault="00000000" w:rsidRPr="00000000" w14:paraId="0000001B">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1C">
      <w:pPr>
        <w:numPr>
          <w:ilvl w:val="0"/>
          <w:numId w:val="1"/>
        </w:numPr>
        <w:spacing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For the purposes of this section, a transfer student shall be defined as a student who was admitted to and matriculated at the University of California, Berkeley as a transfer student from another postsecondary institution, as determined by the University Registrar or other appropriate University records.</w:t>
      </w:r>
    </w:p>
    <w:p w:rsidR="00000000" w:rsidDel="00000000" w:rsidP="00000000" w:rsidRDefault="00000000" w:rsidRPr="00000000" w14:paraId="0000001D">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1E">
      <w:pPr>
        <w:numPr>
          <w:ilvl w:val="0"/>
          <w:numId w:val="1"/>
        </w:numPr>
        <w:spacing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A student shall not be considered a transfer student for the purposes of this subsection solely by virtue of having earned postsecondary credit through dual-enrollment, concurrent-enrollment, early college, Advanced Placement (AP), International Baccalaureate (IB), or similar programs while enrolled in secondary school.</w:t>
      </w:r>
    </w:p>
    <w:p w:rsidR="00000000" w:rsidDel="00000000" w:rsidP="00000000" w:rsidRDefault="00000000" w:rsidRPr="00000000" w14:paraId="0000001F">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20">
      <w:pPr>
        <w:numPr>
          <w:ilvl w:val="0"/>
          <w:numId w:val="1"/>
        </w:numPr>
        <w:spacing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To qualify under this subsection, a student must have attended another postsecondary institution as their </w:t>
      </w:r>
      <w:r w:rsidDel="00000000" w:rsidR="00000000" w:rsidRPr="00000000">
        <w:rPr>
          <w:rFonts w:ascii="Georgia" w:cs="Georgia" w:eastAsia="Georgia" w:hAnsi="Georgia"/>
          <w:rtl w:val="0"/>
        </w:rPr>
        <w:t xml:space="preserve">primary </w:t>
      </w:r>
      <w:r w:rsidDel="00000000" w:rsidR="00000000" w:rsidRPr="00000000">
        <w:rPr>
          <w:rFonts w:ascii="Georgia" w:cs="Georgia" w:eastAsia="Georgia" w:hAnsi="Georgia"/>
          <w:rtl w:val="0"/>
        </w:rPr>
        <w:t xml:space="preserve">educational institution after completion of secondary education and subsequently transferred to the University of California, Berkeley.</w:t>
      </w:r>
    </w:p>
    <w:p w:rsidR="00000000" w:rsidDel="00000000" w:rsidP="00000000" w:rsidRDefault="00000000" w:rsidRPr="00000000" w14:paraId="00000021">
      <w:pPr>
        <w:spacing w:line="240"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22">
      <w:pPr>
        <w:numPr>
          <w:ilvl w:val="0"/>
          <w:numId w:val="1"/>
        </w:numPr>
        <w:spacing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A person elected or appointed to the office of Transfer Student Representative who is subsequently determined not to meet the requirements of this subsection shall be ineligible to assume office, or, if already serving, shall immediately vacate the office upon certification of ineligibility by the Judicial Council.”</w:t>
      </w:r>
    </w:p>
    <w:p w:rsidR="00000000" w:rsidDel="00000000" w:rsidP="00000000" w:rsidRDefault="00000000" w:rsidRPr="00000000" w14:paraId="00000023">
      <w:pPr>
        <w:spacing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24">
      <w:pPr>
        <w:spacing w:line="240" w:lineRule="auto"/>
        <w:rPr>
          <w:rFonts w:ascii="Georgia" w:cs="Georgia" w:eastAsia="Georgia" w:hAnsi="Georgia"/>
          <w:color w:val="ff0000"/>
        </w:rPr>
      </w:pPr>
      <w:r w:rsidDel="00000000" w:rsidR="00000000" w:rsidRPr="00000000">
        <w:rPr>
          <w:rFonts w:ascii="Georgia" w:cs="Georgia" w:eastAsia="Georgia" w:hAnsi="Georgia"/>
          <w:b w:val="1"/>
          <w:bCs w:val="1"/>
          <w:rtl w:val="0"/>
        </w:rPr>
        <w:t xml:space="preserve">THEREFORE BE IT FURTHER RESOLVED</w:t>
      </w:r>
      <w:r w:rsidDel="00000000" w:rsidR="00000000" w:rsidRPr="00000000">
        <w:rPr>
          <w:rFonts w:ascii="Georgia" w:cs="Georgia" w:eastAsia="Georgia" w:hAnsi="Georgia"/>
          <w:rtl w:val="0"/>
        </w:rPr>
        <w:t xml:space="preserve">, that all references within the Constitution, Bylaws, election regulations, or other governing documents shall be interpreted consistently with this amendment.</w:t>
      </w:r>
      <w:r w:rsidDel="00000000" w:rsidR="00000000" w:rsidRPr="00000000">
        <w:rPr>
          <w:rtl w:val="0"/>
        </w:rPr>
      </w:r>
    </w:p>
    <w:p w:rsidR="00000000" w:rsidDel="00000000" w:rsidP="00000000" w:rsidRDefault="00000000" w:rsidRPr="00000000" w14:paraId="00000025">
      <w:pPr>
        <w:spacing w:line="240"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26">
      <w:pPr>
        <w:spacing w:line="240" w:lineRule="auto"/>
        <w:rPr>
          <w:rFonts w:ascii="Cambria" w:cs="Cambria" w:eastAsia="Cambria" w:hAnsi="Cambria"/>
          <w:sz w:val="76"/>
          <w:szCs w:val="76"/>
        </w:rPr>
      </w:pPr>
      <w:r w:rsidDel="00000000" w:rsidR="00000000" w:rsidRPr="00000000">
        <w:rPr>
          <w:rFonts w:ascii="Georgia" w:cs="Georgia" w:eastAsia="Georgia" w:hAnsi="Georgia"/>
          <w:b w:val="1"/>
          <w:bCs w:val="1"/>
          <w:rtl w:val="0"/>
        </w:rPr>
        <w:t xml:space="preserve">THEREFORE BE IT FURTHER RESOLVED</w:t>
      </w:r>
      <w:r w:rsidDel="00000000" w:rsidR="00000000" w:rsidRPr="00000000">
        <w:rPr>
          <w:rFonts w:ascii="Georgia" w:cs="Georgia" w:eastAsia="Georgia" w:hAnsi="Georgia"/>
          <w:rtl w:val="0"/>
        </w:rPr>
        <w:t xml:space="preserve">, that this amendment shall take effect upon certification of its approval in accordance with Article XIII of the ASUC Constitution.</w:t>
      </w:r>
      <w:r w:rsidDel="00000000" w:rsidR="00000000" w:rsidRPr="00000000">
        <w:rPr>
          <w:rtl w:val="0"/>
        </w:rPr>
      </w:r>
    </w:p>
    <w:sectPr>
      <w:headerReference r:id="rId8" w:type="default"/>
      <w:footerReference r:id="rId9"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spacing w:line="240" w:lineRule="auto"/>
      <w:rPr>
        <w:sz w:val="20"/>
        <w:szCs w:val="20"/>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C">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1">
        <w:r w:rsidDel="00000000" w:rsidR="00000000" w:rsidRPr="00000000">
          <w:rPr>
            <w:rFonts w:ascii="Georgia" w:cs="Georgia" w:eastAsia="Georgia" w:hAnsi="Georgia"/>
            <w:color w:val="1155cc"/>
            <w:sz w:val="18"/>
            <w:szCs w:val="18"/>
            <w:u w:val="single"/>
            <w:rtl w:val="0"/>
          </w:rPr>
          <w:t xml:space="preserve">ASUC Constitution - Article II, Section 9(a), pg. 6</w:t>
        </w:r>
      </w:hyperlink>
      <w:r w:rsidDel="00000000" w:rsidR="00000000" w:rsidRPr="00000000">
        <w:rPr>
          <w:rtl w:val="0"/>
        </w:rPr>
      </w:r>
    </w:p>
  </w:footnote>
  <w:footnote w:id="1">
    <w:p w:rsidR="00000000" w:rsidDel="00000000" w:rsidP="00000000" w:rsidRDefault="00000000" w:rsidRPr="00000000" w14:paraId="0000002D">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2">
        <w:r w:rsidDel="00000000" w:rsidR="00000000" w:rsidRPr="00000000">
          <w:rPr>
            <w:rFonts w:ascii="Georgia" w:cs="Georgia" w:eastAsia="Georgia" w:hAnsi="Georgia"/>
            <w:color w:val="1155cc"/>
            <w:sz w:val="18"/>
            <w:szCs w:val="18"/>
            <w:u w:val="single"/>
            <w:rtl w:val="0"/>
          </w:rPr>
          <w:t xml:space="preserve">ASUC Constitution - Article II, Section 9(b), pg. 6</w:t>
        </w:r>
      </w:hyperlink>
      <w:r w:rsidDel="00000000" w:rsidR="00000000" w:rsidRPr="00000000">
        <w:rPr>
          <w:rtl w:val="0"/>
        </w:rPr>
      </w:r>
    </w:p>
  </w:footnote>
  <w:footnote w:id="2">
    <w:p w:rsidR="00000000" w:rsidDel="00000000" w:rsidP="00000000" w:rsidRDefault="00000000" w:rsidRPr="00000000" w14:paraId="0000002E">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3">
        <w:r w:rsidDel="00000000" w:rsidR="00000000" w:rsidRPr="00000000">
          <w:rPr>
            <w:rFonts w:ascii="Georgia" w:cs="Georgia" w:eastAsia="Georgia" w:hAnsi="Georgia"/>
            <w:color w:val="1155cc"/>
            <w:sz w:val="18"/>
            <w:szCs w:val="18"/>
            <w:u w:val="single"/>
            <w:rtl w:val="0"/>
          </w:rPr>
          <w:t xml:space="preserve">Transfer Student Center, Programs and Services</w:t>
        </w:r>
      </w:hyperlink>
      <w:r w:rsidDel="00000000" w:rsidR="00000000" w:rsidRPr="00000000">
        <w:rPr>
          <w:rtl w:val="0"/>
        </w:rPr>
      </w:r>
    </w:p>
  </w:footnote>
  <w:footnote w:id="3">
    <w:p w:rsidR="00000000" w:rsidDel="00000000" w:rsidP="00000000" w:rsidRDefault="00000000" w:rsidRPr="00000000" w14:paraId="0000002F">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4">
        <w:r w:rsidDel="00000000" w:rsidR="00000000" w:rsidRPr="00000000">
          <w:rPr>
            <w:rFonts w:ascii="Georgia" w:cs="Georgia" w:eastAsia="Georgia" w:hAnsi="Georgia"/>
            <w:color w:val="1155cc"/>
            <w:sz w:val="18"/>
            <w:szCs w:val="18"/>
            <w:u w:val="single"/>
            <w:rtl w:val="0"/>
          </w:rPr>
          <w:t xml:space="preserve">Transfer Student Center, Transfer Community</w:t>
        </w:r>
      </w:hyperlink>
      <w:r w:rsidDel="00000000" w:rsidR="00000000" w:rsidRPr="00000000">
        <w:rPr>
          <w:rFonts w:ascii="Georgia" w:cs="Georgia" w:eastAsia="Georgia" w:hAnsi="Georgia"/>
          <w:sz w:val="18"/>
          <w:szCs w:val="18"/>
          <w:rtl w:val="0"/>
        </w:rPr>
        <w:t xml:space="preserve"> </w:t>
      </w:r>
    </w:p>
  </w:footnote>
  <w:footnote w:id="4">
    <w:p w:rsidR="00000000" w:rsidDel="00000000" w:rsidP="00000000" w:rsidRDefault="00000000" w:rsidRPr="00000000" w14:paraId="00000030">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5">
        <w:r w:rsidDel="00000000" w:rsidR="00000000" w:rsidRPr="00000000">
          <w:rPr>
            <w:rFonts w:ascii="Georgia" w:cs="Georgia" w:eastAsia="Georgia" w:hAnsi="Georgia"/>
            <w:color w:val="1155cc"/>
            <w:sz w:val="18"/>
            <w:szCs w:val="18"/>
            <w:u w:val="single"/>
            <w:rtl w:val="0"/>
          </w:rPr>
          <w:t xml:space="preserve">Transfer Student Center, Transition Seminars</w:t>
        </w:r>
      </w:hyperlink>
      <w:r w:rsidDel="00000000" w:rsidR="00000000" w:rsidRPr="00000000">
        <w:rPr>
          <w:rFonts w:ascii="Georgia" w:cs="Georgia" w:eastAsia="Georgia" w:hAnsi="Georgia"/>
          <w:sz w:val="18"/>
          <w:szCs w:val="18"/>
          <w:rtl w:val="0"/>
        </w:rPr>
        <w:t xml:space="preserve"> </w:t>
      </w:r>
    </w:p>
  </w:footnote>
  <w:footnote w:id="5">
    <w:p w:rsidR="00000000" w:rsidDel="00000000" w:rsidP="00000000" w:rsidRDefault="00000000" w:rsidRPr="00000000" w14:paraId="00000031">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6">
        <w:r w:rsidDel="00000000" w:rsidR="00000000" w:rsidRPr="00000000">
          <w:rPr>
            <w:rFonts w:ascii="Georgia" w:cs="Georgia" w:eastAsia="Georgia" w:hAnsi="Georgia"/>
            <w:color w:val="1155cc"/>
            <w:sz w:val="18"/>
            <w:szCs w:val="18"/>
            <w:u w:val="single"/>
            <w:rtl w:val="0"/>
          </w:rPr>
          <w:t xml:space="preserve">Daily Bruin, “USAC adds transfer student representative position to ASUC Communications Board,” Oct. 21, 2021</w:t>
        </w:r>
      </w:hyperlink>
      <w:r w:rsidDel="00000000" w:rsidR="00000000" w:rsidRPr="00000000">
        <w:rPr>
          <w:rtl w:val="0"/>
        </w:rPr>
      </w:r>
    </w:p>
  </w:footnote>
  <w:footnote w:id="6">
    <w:p w:rsidR="00000000" w:rsidDel="00000000" w:rsidP="00000000" w:rsidRDefault="00000000" w:rsidRPr="00000000" w14:paraId="00000032">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7">
        <w:r w:rsidDel="00000000" w:rsidR="00000000" w:rsidRPr="00000000">
          <w:rPr>
            <w:rFonts w:ascii="Georgia" w:cs="Georgia" w:eastAsia="Georgia" w:hAnsi="Georgia"/>
            <w:color w:val="1155cc"/>
            <w:sz w:val="18"/>
            <w:szCs w:val="18"/>
            <w:u w:val="single"/>
            <w:rtl w:val="0"/>
          </w:rPr>
          <w:t xml:space="preserve">AS Elections, UCSB - Candidate Information</w:t>
        </w:r>
      </w:hyperlink>
      <w:r w:rsidDel="00000000" w:rsidR="00000000" w:rsidRPr="00000000">
        <w:rPr>
          <w:rtl w:val="0"/>
        </w:rPr>
      </w:r>
    </w:p>
  </w:footnote>
  <w:footnote w:id="7">
    <w:p w:rsidR="00000000" w:rsidDel="00000000" w:rsidP="00000000" w:rsidRDefault="00000000" w:rsidRPr="00000000" w14:paraId="00000033">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rFonts w:ascii="Georgia" w:cs="Georgia" w:eastAsia="Georgia" w:hAnsi="Georgia"/>
            <w:color w:val="1155cc"/>
            <w:sz w:val="18"/>
            <w:szCs w:val="18"/>
            <w:u w:val="single"/>
            <w:rtl w:val="0"/>
          </w:rPr>
          <w:t xml:space="preserve">ASUCI Constitution, Article 6, Section 1(a)(2), pg. 7</w:t>
        </w:r>
      </w:hyperlink>
      <w:r w:rsidDel="00000000" w:rsidR="00000000" w:rsidRPr="00000000">
        <w:rPr>
          <w:rtl w:val="0"/>
        </w:rPr>
      </w:r>
    </w:p>
  </w:footnote>
  <w:footnote w:id="8">
    <w:p w:rsidR="00000000" w:rsidDel="00000000" w:rsidP="00000000" w:rsidRDefault="00000000" w:rsidRPr="00000000" w14:paraId="00000034">
      <w:pPr>
        <w:spacing w:line="240" w:lineRule="auto"/>
        <w:rPr>
          <w:rFonts w:ascii="Georgia" w:cs="Georgia" w:eastAsia="Georgia" w:hAnsi="Georgia"/>
          <w:sz w:val="18"/>
          <w:szCs w:val="18"/>
        </w:rPr>
      </w:pPr>
      <w:r w:rsidDel="00000000" w:rsidR="00000000" w:rsidRPr="00000000">
        <w:rPr>
          <w:rStyle w:val="FootnoteReference"/>
          <w:vertAlign w:val="superscript"/>
        </w:rPr>
        <w:footnoteRef/>
      </w:r>
      <w:r w:rsidDel="00000000" w:rsidR="00000000" w:rsidRPr="00000000">
        <w:rPr>
          <w:rFonts w:ascii="Georgia" w:cs="Georgia" w:eastAsia="Georgia" w:hAnsi="Georgia"/>
          <w:sz w:val="18"/>
          <w:szCs w:val="18"/>
          <w:rtl w:val="0"/>
        </w:rPr>
        <w:t xml:space="preserve"> </w:t>
      </w:r>
      <w:hyperlink r:id="rId9">
        <w:r w:rsidDel="00000000" w:rsidR="00000000" w:rsidRPr="00000000">
          <w:rPr>
            <w:rFonts w:ascii="Georgia" w:cs="Georgia" w:eastAsia="Georgia" w:hAnsi="Georgia"/>
            <w:color w:val="1155cc"/>
            <w:sz w:val="18"/>
            <w:szCs w:val="18"/>
            <w:u w:val="single"/>
            <w:rtl w:val="0"/>
          </w:rPr>
          <w:t xml:space="preserve">Office of Undergraduate Admissions, Transfer Students</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A">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26/27-XXXX</w:t>
    </w:r>
  </w:p>
  <w:p w:rsidR="00000000" w:rsidDel="00000000" w:rsidP="00000000" w:rsidRDefault="00000000" w:rsidRPr="00000000" w14:paraId="0000002B">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Qk565835nTJFky68YxK6bwRzsPLE1zRjK0a1psF2_9o/edit?tab=t.0" TargetMode="External"/><Relationship Id="rId2" Type="http://schemas.openxmlformats.org/officeDocument/2006/relationships/hyperlink" Target="https://docs.google.com/document/d/1Qk565835nTJFky68YxK6bwRzsPLE1zRjK0a1psF2_9o/edit?tab=t.0" TargetMode="External"/><Relationship Id="rId3" Type="http://schemas.openxmlformats.org/officeDocument/2006/relationships/hyperlink" Target="https://transfers.berkeley.edu/programs-and-services" TargetMode="External"/><Relationship Id="rId4" Type="http://schemas.openxmlformats.org/officeDocument/2006/relationships/hyperlink" Target="https://transfers.berkeley.edu/programs-and-services/transfer-community" TargetMode="External"/><Relationship Id="rId9" Type="http://schemas.openxmlformats.org/officeDocument/2006/relationships/hyperlink" Target="https://www.admissions.berkeley.edu/apply-to-berkeley/transfer-students/" TargetMode="External"/><Relationship Id="rId5" Type="http://schemas.openxmlformats.org/officeDocument/2006/relationships/hyperlink" Target="https://transfers.berkeley.edu/transitioncourse" TargetMode="External"/><Relationship Id="rId6" Type="http://schemas.openxmlformats.org/officeDocument/2006/relationships/hyperlink" Target="https://dailybruin.com/2021/10/21/usac-adds-transfer-student-representative-position-to-asucla-communications-board" TargetMode="External"/><Relationship Id="rId7" Type="http://schemas.openxmlformats.org/officeDocument/2006/relationships/hyperlink" Target="https://elections.as.ucsb.edu/candidate-info/#:~:text=I%20want%20to,meet%20this%20requirement." TargetMode="External"/><Relationship Id="rId8" Type="http://schemas.openxmlformats.org/officeDocument/2006/relationships/hyperlink" Target="https://asuci.uci.edu/wp-content/uploads/2016/03/asuci_constitution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