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552575" cy="155257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552575" cy="15525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No.2026/2027-016</w:t>
      </w:r>
    </w:p>
    <w:p w:rsidR="00000000" w:rsidDel="00000000" w:rsidP="00000000" w:rsidRDefault="00000000" w:rsidRPr="00000000" w14:paraId="00000003">
      <w:pPr>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b w:val="1"/>
          <w:bCs w:val="1"/>
          <w:i w:val="1"/>
          <w:iCs w:val="1"/>
          <w:sz w:val="32"/>
          <w:szCs w:val="32"/>
          <w:rtl w:val="0"/>
        </w:rPr>
        <w:t xml:space="preserve">In Opposition to UC Berkeley’s Codification of the IHRA Definition of Antisemitism in </w:t>
      </w:r>
      <w:r w:rsidDel="00000000" w:rsidR="00000000" w:rsidRPr="00000000">
        <w:rPr>
          <w:rFonts w:ascii="Cambria" w:cs="Cambria" w:eastAsia="Cambria" w:hAnsi="Cambria"/>
          <w:b w:val="1"/>
          <w:bCs w:val="1"/>
          <w:i w:val="1"/>
          <w:iCs w:val="1"/>
          <w:sz w:val="32"/>
          <w:szCs w:val="32"/>
          <w:rtl w:val="0"/>
        </w:rPr>
        <w:t xml:space="preserve">Campus Disciplinary Policy Stifling Student Freedom of Expression</w:t>
      </w:r>
      <w:r w:rsidDel="00000000" w:rsidR="00000000" w:rsidRPr="00000000">
        <w:pict>
          <v:rect style="width:0.0pt;height:1.5pt" o:hr="t" o:hrstd="t" o:hralign="center" fillcolor="#A0A0A0" stroked="f"/>
        </w:pict>
      </w:r>
      <w:r w:rsidDel="00000000" w:rsidR="00000000" w:rsidRPr="00000000">
        <w:rPr>
          <w:rFonts w:ascii="Cambria" w:cs="Cambria" w:eastAsia="Cambria" w:hAnsi="Cambria"/>
          <w:b w:val="1"/>
          <w:bCs w:val="1"/>
          <w:sz w:val="24"/>
          <w:szCs w:val="24"/>
          <w:rtl w:val="0"/>
        </w:rPr>
        <w:t xml:space="preserve">Primary Sponsor</w:t>
        <w:br w:type="textWrapping"/>
      </w:r>
      <w:r w:rsidDel="00000000" w:rsidR="00000000" w:rsidRPr="00000000">
        <w:rPr>
          <w:rFonts w:ascii="Cambria" w:cs="Cambria" w:eastAsia="Cambria" w:hAnsi="Cambria"/>
          <w:sz w:val="24"/>
          <w:szCs w:val="24"/>
          <w:rtl w:val="0"/>
        </w:rPr>
        <w:t xml:space="preserve"> Margaret Solomon (ASUC President), Sydnee Thy (ASUC Executive Vice President)</w:t>
      </w:r>
    </w:p>
    <w:p w:rsidR="00000000" w:rsidDel="00000000" w:rsidP="00000000" w:rsidRDefault="00000000" w:rsidRPr="00000000" w14:paraId="00000004">
      <w:pPr>
        <w:widowControl w:val="0"/>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Co-Authors</w:t>
      </w:r>
    </w:p>
    <w:p w:rsidR="00000000" w:rsidDel="00000000" w:rsidP="00000000" w:rsidRDefault="00000000" w:rsidRPr="00000000" w14:paraId="00000006">
      <w:pPr>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Sharada Narayanan (OP Legal Affairs Executive), Kiran Nanda (OP Legal Affairs Deputy Executive), Alene Luna (OP Legal Affairs Associate), Lauren Guh (OP Legal Affairs Associate), Jaismeen Ghuman (OP Legal Affairs Intern), Gerardo Flores-Seo (OP Legal Affairs Intern), Samrina Khan (EVP Head of Staff)</w:t>
      </w:r>
      <w:r w:rsidDel="00000000" w:rsidR="00000000" w:rsidRPr="00000000">
        <w:rPr>
          <w:rtl w:val="0"/>
        </w:rPr>
      </w:r>
    </w:p>
    <w:p w:rsidR="00000000" w:rsidDel="00000000" w:rsidP="00000000" w:rsidRDefault="00000000" w:rsidRPr="00000000" w14:paraId="00000007">
      <w:pPr>
        <w:spacing w:after="240" w:before="240" w:lineRule="auto"/>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Cosponsors</w:t>
        <w:br w:type="textWrapping"/>
      </w:r>
      <w:r w:rsidDel="00000000" w:rsidR="00000000" w:rsidRPr="00000000">
        <w:rPr>
          <w:rFonts w:ascii="Cambria" w:cs="Cambria" w:eastAsia="Cambria" w:hAnsi="Cambria"/>
          <w:sz w:val="24"/>
          <w:szCs w:val="24"/>
          <w:rtl w:val="0"/>
        </w:rPr>
        <w:t xml:space="preserve"> Bears for Palestine (Executive Board)</w:t>
      </w:r>
    </w:p>
    <w:p w:rsidR="00000000" w:rsidDel="00000000" w:rsidP="00000000" w:rsidRDefault="00000000" w:rsidRPr="00000000" w14:paraId="00000008">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University of California, Berkeley, is the home of the Free Speech Movement and has long held free expression as a core value; and</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09">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Chancellor’s Principles of Community commit the University to "ensuring freedom of expression and dialogue"; and </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0A">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ASUC Constitution commits the ASUC to “protect full freedom of assembly and expression; and </w:t>
      </w:r>
      <w:r w:rsidDel="00000000" w:rsidR="00000000" w:rsidRPr="00000000">
        <w:rPr>
          <w:rFonts w:ascii="Cambria" w:cs="Cambria" w:eastAsia="Cambria" w:hAnsi="Cambria"/>
          <w:sz w:val="24"/>
          <w:szCs w:val="24"/>
          <w:vertAlign w:val="superscript"/>
        </w:rPr>
        <w:footnoteReference w:customMarkFollows="0" w:id="2"/>
      </w:r>
      <w:r w:rsidDel="00000000" w:rsidR="00000000" w:rsidRPr="00000000">
        <w:rPr>
          <w:rtl w:val="0"/>
        </w:rPr>
      </w:r>
    </w:p>
    <w:p w:rsidR="00000000" w:rsidDel="00000000" w:rsidP="00000000" w:rsidRDefault="00000000" w:rsidRPr="00000000" w14:paraId="0000000B">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in March 2026, UC Berkeley settled a 2023 lawsuit filed by the Louis D. Brandeis Center for Human Rights Under Law with at least a five-year commitment as per Section (9) of the Terms</w:t>
      </w:r>
      <w:r w:rsidDel="00000000" w:rsidR="00000000" w:rsidRPr="00000000">
        <w:rPr>
          <w:rFonts w:ascii="Cambria" w:cs="Cambria" w:eastAsia="Cambria" w:hAnsi="Cambria"/>
          <w:sz w:val="24"/>
          <w:szCs w:val="24"/>
          <w:rtl w:val="0"/>
        </w:rPr>
        <w:t xml:space="preserve">;</w:t>
      </w:r>
      <w:r w:rsidDel="00000000" w:rsidR="00000000" w:rsidRPr="00000000">
        <w:rPr>
          <w:rFonts w:ascii="Cambria" w:cs="Cambria" w:eastAsia="Cambria" w:hAnsi="Cambria"/>
          <w:sz w:val="24"/>
          <w:szCs w:val="24"/>
          <w:rtl w:val="0"/>
        </w:rPr>
        <w:t xml:space="preserve"> and </w:t>
      </w:r>
      <w:r w:rsidDel="00000000" w:rsidR="00000000" w:rsidRPr="00000000">
        <w:rPr>
          <w:rFonts w:ascii="Cambria" w:cs="Cambria" w:eastAsia="Cambria" w:hAnsi="Cambria"/>
          <w:sz w:val="24"/>
          <w:szCs w:val="24"/>
          <w:vertAlign w:val="superscript"/>
        </w:rPr>
        <w:footnoteReference w:customMarkFollows="0" w:id="3"/>
      </w:r>
      <w:r w:rsidDel="00000000" w:rsidR="00000000" w:rsidRPr="00000000">
        <w:rPr>
          <w:rtl w:val="0"/>
        </w:rPr>
      </w:r>
    </w:p>
    <w:p w:rsidR="00000000" w:rsidDel="00000000" w:rsidP="00000000" w:rsidRDefault="00000000" w:rsidRPr="00000000" w14:paraId="0000000C">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Section 14(a) under the Terms of the Settlement requires the University to consider the International Holocaust Remembrance Alliance’s (IHRA) definition of antisemitism and its contemporary examples when investigating certain harassment and discrimination complaints and to include it in mandatory campus trainings; and</w:t>
      </w:r>
      <w:r w:rsidDel="00000000" w:rsidR="00000000" w:rsidRPr="00000000">
        <w:rPr>
          <w:rFonts w:ascii="Cambria" w:cs="Cambria" w:eastAsia="Cambria" w:hAnsi="Cambria"/>
          <w:sz w:val="24"/>
          <w:szCs w:val="24"/>
          <w:vertAlign w:val="superscript"/>
        </w:rPr>
        <w:footnoteReference w:customMarkFollows="0" w:id="4"/>
      </w:r>
      <w:r w:rsidDel="00000000" w:rsidR="00000000" w:rsidRPr="00000000">
        <w:rPr>
          <w:rtl w:val="0"/>
        </w:rPr>
      </w:r>
    </w:p>
    <w:p w:rsidR="00000000" w:rsidDel="00000000" w:rsidP="00000000" w:rsidRDefault="00000000" w:rsidRPr="00000000" w14:paraId="0000000D">
      <w:pPr>
        <w:spacing w:after="240" w:before="240" w:lineRule="auto"/>
        <w:rPr>
          <w:rFonts w:ascii="Cambria" w:cs="Cambria" w:eastAsia="Cambria" w:hAnsi="Cambria"/>
          <w:sz w:val="24"/>
          <w:szCs w:val="24"/>
          <w:shd w:fill="d9d2e9" w:val="clear"/>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Sections 14(a), 15(b), and 15(c) of the settlement </w:t>
      </w:r>
      <w:r w:rsidDel="00000000" w:rsidR="00000000" w:rsidRPr="00000000">
        <w:rPr>
          <w:rFonts w:ascii="Cambria" w:cs="Cambria" w:eastAsia="Cambria" w:hAnsi="Cambria"/>
          <w:sz w:val="24"/>
          <w:szCs w:val="24"/>
          <w:rtl w:val="0"/>
        </w:rPr>
        <w:t xml:space="preserve">conflates anti-Zionist political expression with antisemit</w:t>
      </w:r>
      <w:r w:rsidDel="00000000" w:rsidR="00000000" w:rsidRPr="00000000">
        <w:rPr>
          <w:rFonts w:ascii="Cambria" w:cs="Cambria" w:eastAsia="Cambria" w:hAnsi="Cambria"/>
          <w:sz w:val="24"/>
          <w:szCs w:val="24"/>
          <w:rtl w:val="0"/>
        </w:rPr>
        <w:t xml:space="preserve">ic discrimination, thus undermining student free speech and delegitimizing the Palestinian struggle, identity, and organizing on campus</w:t>
      </w:r>
      <w:r w:rsidDel="00000000" w:rsidR="00000000" w:rsidRPr="00000000">
        <w:rPr>
          <w:rFonts w:ascii="Cambria" w:cs="Cambria" w:eastAsia="Cambria" w:hAnsi="Cambria"/>
          <w:sz w:val="24"/>
          <w:szCs w:val="24"/>
          <w:vertAlign w:val="superscript"/>
        </w:rPr>
        <w:footnoteReference w:customMarkFollows="0" w:id="5"/>
      </w:r>
      <w:r w:rsidDel="00000000" w:rsidR="00000000" w:rsidRPr="00000000">
        <w:rPr>
          <w:rFonts w:ascii="Cambria" w:cs="Cambria" w:eastAsia="Cambria" w:hAnsi="Cambria"/>
          <w:sz w:val="24"/>
          <w:szCs w:val="24"/>
          <w:rtl w:val="0"/>
        </w:rPr>
        <w:t xml:space="preserve">; and </w:t>
      </w:r>
      <w:r w:rsidDel="00000000" w:rsidR="00000000" w:rsidRPr="00000000">
        <w:rPr>
          <w:rtl w:val="0"/>
        </w:rPr>
      </w:r>
    </w:p>
    <w:p w:rsidR="00000000" w:rsidDel="00000000" w:rsidP="00000000" w:rsidRDefault="00000000" w:rsidRPr="00000000" w14:paraId="0000000E">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 the consideration of the IHRA’s definition of antisemitism suppresses the rights of students to criticize and hold foreign governments accountable as well as engage in speech condemning settler colonialism, thus labeling any criticism of the Israeli government’s actions as destructive and </w:t>
      </w:r>
      <w:r w:rsidDel="00000000" w:rsidR="00000000" w:rsidRPr="00000000">
        <w:rPr>
          <w:rFonts w:ascii="Cambria" w:cs="Cambria" w:eastAsia="Cambria" w:hAnsi="Cambria"/>
          <w:sz w:val="24"/>
          <w:szCs w:val="24"/>
          <w:rtl w:val="0"/>
        </w:rPr>
        <w:t xml:space="preserve">threatening</w:t>
      </w:r>
      <w:r w:rsidDel="00000000" w:rsidR="00000000" w:rsidRPr="00000000">
        <w:rPr>
          <w:rFonts w:ascii="Cambria" w:cs="Cambria" w:eastAsia="Cambria" w:hAnsi="Cambria"/>
          <w:sz w:val="24"/>
          <w:szCs w:val="24"/>
          <w:rtl w:val="0"/>
        </w:rPr>
        <w:t xml:space="preserve">; and </w:t>
      </w:r>
      <w:r w:rsidDel="00000000" w:rsidR="00000000" w:rsidRPr="00000000">
        <w:rPr>
          <w:rFonts w:ascii="Cambria" w:cs="Cambria" w:eastAsia="Cambria" w:hAnsi="Cambria"/>
          <w:sz w:val="24"/>
          <w:szCs w:val="24"/>
          <w:vertAlign w:val="superscript"/>
        </w:rPr>
        <w:footnoteReference w:customMarkFollows="0" w:id="6"/>
      </w:r>
      <w:r w:rsidDel="00000000" w:rsidR="00000000" w:rsidRPr="00000000">
        <w:rPr>
          <w:rtl w:val="0"/>
        </w:rPr>
      </w:r>
    </w:p>
    <w:p w:rsidR="00000000" w:rsidDel="00000000" w:rsidP="00000000" w:rsidRDefault="00000000" w:rsidRPr="00000000" w14:paraId="0000000F">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student spaces and organizations (RSOs) have been asked to remove artwork displaying solidarity with Palestine and the Palestinian struggle as well as other forms of creative expression under the guise of the unsanctioned ordinance stating there should be no political artwork on campus as it is a reflection of “campus speech"; and </w:t>
      </w:r>
      <w:r w:rsidDel="00000000" w:rsidR="00000000" w:rsidRPr="00000000">
        <w:rPr>
          <w:rFonts w:ascii="Cambria" w:cs="Cambria" w:eastAsia="Cambria" w:hAnsi="Cambria"/>
          <w:sz w:val="24"/>
          <w:szCs w:val="24"/>
          <w:vertAlign w:val="superscript"/>
        </w:rPr>
        <w:footnoteReference w:customMarkFollows="0" w:id="7"/>
      </w:r>
      <w:r w:rsidDel="00000000" w:rsidR="00000000" w:rsidRPr="00000000">
        <w:rPr>
          <w:rFonts w:ascii="Cambria" w:cs="Cambria" w:eastAsia="Cambria" w:hAnsi="Cambria"/>
          <w:sz w:val="24"/>
          <w:szCs w:val="24"/>
          <w:rtl w:val="0"/>
        </w:rPr>
        <w:t xml:space="preserve">,</w:t>
      </w:r>
      <w:r w:rsidDel="00000000" w:rsidR="00000000" w:rsidRPr="00000000">
        <w:rPr>
          <w:rFonts w:ascii="Cambria" w:cs="Cambria" w:eastAsia="Cambria" w:hAnsi="Cambria"/>
          <w:sz w:val="24"/>
          <w:szCs w:val="24"/>
          <w:vertAlign w:val="superscript"/>
        </w:rPr>
        <w:footnoteReference w:customMarkFollows="0" w:id="8"/>
      </w:r>
      <w:r w:rsidDel="00000000" w:rsidR="00000000" w:rsidRPr="00000000">
        <w:rPr>
          <w:rtl w:val="0"/>
        </w:rPr>
      </w:r>
    </w:p>
    <w:p w:rsidR="00000000" w:rsidDel="00000000" w:rsidP="00000000" w:rsidRDefault="00000000" w:rsidRPr="00000000" w14:paraId="00000010">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 adopting the IHRA definition seeks to establish an inherent contradiction between protecting Palestinian rights and Jewish safety when, in reality, these ideas are not mutually exclusive and harms genuine experiences of antisemitism faced by the Jewish community; and</w:t>
      </w:r>
    </w:p>
    <w:p w:rsidR="00000000" w:rsidDel="00000000" w:rsidP="00000000" w:rsidRDefault="00000000" w:rsidRPr="00000000" w14:paraId="00000011">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under Section 24(d) of the </w:t>
      </w:r>
      <w:r w:rsidDel="00000000" w:rsidR="00000000" w:rsidRPr="00000000">
        <w:rPr>
          <w:rFonts w:ascii="Cambria" w:cs="Cambria" w:eastAsia="Cambria" w:hAnsi="Cambria"/>
          <w:sz w:val="24"/>
          <w:szCs w:val="24"/>
          <w:rtl w:val="0"/>
        </w:rPr>
        <w:t xml:space="preserve">settlement</w:t>
      </w:r>
      <w:r w:rsidDel="00000000" w:rsidR="00000000" w:rsidRPr="00000000">
        <w:rPr>
          <w:rFonts w:ascii="Cambria" w:cs="Cambria" w:eastAsia="Cambria" w:hAnsi="Cambria"/>
          <w:sz w:val="24"/>
          <w:szCs w:val="24"/>
          <w:rtl w:val="0"/>
        </w:rPr>
        <w:t xml:space="preserve"> with the Brandeis Center for Human Rights Under Law, UC Berkeley will install additional surveillance cameras in prominent places around campus without transparently specifying the location, intention, and purpose behind their utilization; and </w:t>
      </w:r>
      <w:r w:rsidDel="00000000" w:rsidR="00000000" w:rsidRPr="00000000">
        <w:rPr>
          <w:rFonts w:ascii="Cambria" w:cs="Cambria" w:eastAsia="Cambria" w:hAnsi="Cambria"/>
          <w:sz w:val="24"/>
          <w:szCs w:val="24"/>
          <w:vertAlign w:val="superscript"/>
        </w:rPr>
        <w:footnoteReference w:customMarkFollows="0" w:id="9"/>
      </w:r>
      <w:r w:rsidDel="00000000" w:rsidR="00000000" w:rsidRPr="00000000">
        <w:rPr>
          <w:rFonts w:ascii="Cambria" w:cs="Cambria" w:eastAsia="Cambria" w:hAnsi="Cambria"/>
          <w:sz w:val="24"/>
          <w:szCs w:val="24"/>
          <w:rtl w:val="0"/>
        </w:rPr>
        <w:t xml:space="preserve">,</w:t>
      </w:r>
      <w:r w:rsidDel="00000000" w:rsidR="00000000" w:rsidRPr="00000000">
        <w:rPr>
          <w:rFonts w:ascii="Cambria" w:cs="Cambria" w:eastAsia="Cambria" w:hAnsi="Cambria"/>
          <w:sz w:val="24"/>
          <w:szCs w:val="24"/>
          <w:vertAlign w:val="superscript"/>
        </w:rPr>
        <w:footnoteReference w:customMarkFollows="0" w:id="10"/>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12">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according to Sections 17(d) and 17(e) of the S</w:t>
      </w:r>
      <w:r w:rsidDel="00000000" w:rsidR="00000000" w:rsidRPr="00000000">
        <w:rPr>
          <w:rFonts w:ascii="Cambria" w:cs="Cambria" w:eastAsia="Cambria" w:hAnsi="Cambria"/>
          <w:sz w:val="24"/>
          <w:szCs w:val="24"/>
          <w:rtl w:val="0"/>
        </w:rPr>
        <w:t xml:space="preserve">ettlement</w:t>
      </w:r>
      <w:r w:rsidDel="00000000" w:rsidR="00000000" w:rsidRPr="00000000">
        <w:rPr>
          <w:rFonts w:ascii="Cambria" w:cs="Cambria" w:eastAsia="Cambria" w:hAnsi="Cambria"/>
          <w:sz w:val="24"/>
          <w:szCs w:val="24"/>
          <w:rtl w:val="0"/>
        </w:rPr>
        <w:t xml:space="preserve">, the Office for the Prevention of Discrimination and Harassment (OPHD) must report every complaint regarding anti-Semitism in academic courses to the Chancellor’s Advisory Committee on Jewish Life and Campus Climate, while also authorizing the Committee with the ability to recommend changes to academic leadership, curriculum, and freedom, raising concerns by applying the IHRA definition to educational and classroom contexts; and</w:t>
      </w:r>
      <w:r w:rsidDel="00000000" w:rsidR="00000000" w:rsidRPr="00000000">
        <w:rPr>
          <w:rFonts w:ascii="Cambria" w:cs="Cambria" w:eastAsia="Cambria" w:hAnsi="Cambria"/>
          <w:sz w:val="24"/>
          <w:szCs w:val="24"/>
          <w:vertAlign w:val="superscript"/>
        </w:rPr>
        <w:footnoteReference w:customMarkFollows="0" w:id="11"/>
      </w:r>
      <w:r w:rsidDel="00000000" w:rsidR="00000000" w:rsidRPr="00000000">
        <w:rPr>
          <w:rtl w:val="0"/>
        </w:rPr>
      </w:r>
    </w:p>
    <w:p w:rsidR="00000000" w:rsidDel="00000000" w:rsidP="00000000" w:rsidRDefault="00000000" w:rsidRPr="00000000" w14:paraId="00000013">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ASUC Senate reaffirms its unequivocal opposition to the settlement with the Brandeis Center for Human Rights Under Law and the subsequent adoption of IHRA’s definition of anti-Semitism in an attempt to recognize the struggles of Palestinians and uphold the university’s and the ASUC’s constitutional commitment to protecting student free speech on campus; and</w:t>
      </w:r>
    </w:p>
    <w:p w:rsidR="00000000" w:rsidDel="00000000" w:rsidP="00000000" w:rsidRDefault="00000000" w:rsidRPr="00000000" w14:paraId="00000014">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that</w:t>
      </w:r>
      <w:r w:rsidDel="00000000" w:rsidR="00000000" w:rsidRPr="00000000">
        <w:rPr>
          <w:rFonts w:ascii="Cambria" w:cs="Cambria" w:eastAsia="Cambria" w:hAnsi="Cambria"/>
          <w:sz w:val="24"/>
          <w:szCs w:val="24"/>
          <w:rtl w:val="0"/>
        </w:rPr>
        <w:t xml:space="preserve"> the ASUC Senate opposes the codification of the IHRA definition and affirms its dedication to eradicate the use of this harmful definition in</w:t>
      </w:r>
      <w:r w:rsidDel="00000000" w:rsidR="00000000" w:rsidRPr="00000000">
        <w:rPr>
          <w:rFonts w:ascii="Cambria" w:cs="Cambria" w:eastAsia="Cambria" w:hAnsi="Cambria"/>
          <w:sz w:val="24"/>
          <w:szCs w:val="24"/>
          <w:rtl w:val="0"/>
        </w:rPr>
        <w:t xml:space="preserve"> campus administration</w:t>
      </w:r>
      <w:r w:rsidDel="00000000" w:rsidR="00000000" w:rsidRPr="00000000">
        <w:rPr>
          <w:rFonts w:ascii="Cambria" w:cs="Cambria" w:eastAsia="Cambria" w:hAnsi="Cambria"/>
          <w:sz w:val="24"/>
          <w:szCs w:val="24"/>
          <w:rtl w:val="0"/>
        </w:rPr>
        <w:t xml:space="preserve"> engagement and commits to challenging the weaponization of this definition in ASUC engagements with campus administration to uphold UC Berkeley’s responsibility to preserve students’ rights to political expression and free speech and hold the administration accountable; and </w:t>
      </w:r>
      <w:r w:rsidDel="00000000" w:rsidR="00000000" w:rsidRPr="00000000">
        <w:rPr>
          <w:rtl w:val="0"/>
        </w:rPr>
      </w:r>
    </w:p>
    <w:p w:rsidR="00000000" w:rsidDel="00000000" w:rsidP="00000000" w:rsidRDefault="00000000" w:rsidRPr="00000000" w14:paraId="00000015">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b w:val="1"/>
          <w:bCs w:val="1"/>
          <w:sz w:val="24"/>
          <w:szCs w:val="24"/>
          <w:rtl w:val="0"/>
        </w:rPr>
        <w:t xml:space="preserve">,</w:t>
      </w:r>
      <w:r w:rsidDel="00000000" w:rsidR="00000000" w:rsidRPr="00000000">
        <w:rPr>
          <w:rFonts w:ascii="Cambria" w:cs="Cambria" w:eastAsia="Cambria" w:hAnsi="Cambria"/>
          <w:sz w:val="24"/>
          <w:szCs w:val="24"/>
          <w:rtl w:val="0"/>
        </w:rPr>
        <w:t xml:space="preserve"> that the ASUC Senate calls on the UC Berkeley administration to issue clear, public guidance affirming that students and registered student organizations will not face OPHD investigation or disciplinary action solely on the basis of criticism of Israeli state policy, and also reevaluate or clearly define their newly implemented OPHD policy where anti-Zionism is seen as a “pretext” for antisemitism in their investigations; and</w:t>
      </w:r>
      <w:r w:rsidDel="00000000" w:rsidR="00000000" w:rsidRPr="00000000">
        <w:rPr>
          <w:rFonts w:ascii="Cambria" w:cs="Cambria" w:eastAsia="Cambria" w:hAnsi="Cambria"/>
          <w:sz w:val="24"/>
          <w:szCs w:val="24"/>
          <w:vertAlign w:val="superscript"/>
        </w:rPr>
        <w:footnoteReference w:customMarkFollows="0" w:id="12"/>
      </w:r>
      <w:r w:rsidDel="00000000" w:rsidR="00000000" w:rsidRPr="00000000">
        <w:rPr>
          <w:rtl w:val="0"/>
        </w:rPr>
      </w:r>
    </w:p>
    <w:p w:rsidR="00000000" w:rsidDel="00000000" w:rsidP="00000000" w:rsidRDefault="00000000" w:rsidRPr="00000000" w14:paraId="00000016">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that the ASUC Senate affirms the right of the freedom of expression, allowing for students to display political art, as well as other forms of creative expression on campus, and calls on campus administration to use transparent communication regarding the policing of political artwork within and around student spaces; and</w:t>
      </w:r>
      <w:r w:rsidDel="00000000" w:rsidR="00000000" w:rsidRPr="00000000">
        <w:rPr>
          <w:rFonts w:ascii="Cambria" w:cs="Cambria" w:eastAsia="Cambria" w:hAnsi="Cambria"/>
          <w:sz w:val="24"/>
          <w:szCs w:val="24"/>
          <w:vertAlign w:val="superscript"/>
        </w:rPr>
        <w:footnoteReference w:customMarkFollows="0" w:id="13"/>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vertAlign w:val="superscript"/>
        </w:rPr>
        <w:footnoteReference w:customMarkFollows="0" w:id="14"/>
      </w:r>
      <w:r w:rsidDel="00000000" w:rsidR="00000000" w:rsidRPr="00000000">
        <w:rPr>
          <w:rtl w:val="0"/>
        </w:rPr>
      </w:r>
    </w:p>
    <w:p w:rsidR="00000000" w:rsidDel="00000000" w:rsidP="00000000" w:rsidRDefault="00000000" w:rsidRPr="00000000" w14:paraId="00000017">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 that the ASUC Senate calls on UC Berkeley to disclose to the student body the full scope of the Brandeis Center’s oversight role under the settlement, including what student data is shared, the purpose, and the data retention policies of all surveillance cameras installed under the agreement; and</w:t>
      </w:r>
    </w:p>
    <w:p w:rsidR="00000000" w:rsidDel="00000000" w:rsidP="00000000" w:rsidRDefault="00000000" w:rsidRPr="00000000" w14:paraId="00000018">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sz w:val="24"/>
          <w:szCs w:val="24"/>
          <w:rtl w:val="0"/>
        </w:rPr>
        <w:t xml:space="preserve"> that the ASUC Senate reaffirms its commitment to an inclusive campus where every student can participate fully in campus life and democratic discourse without fear of institutional retaliation or discipline for protected political speech and expression and calls for a statement or a meeting with campus administration to discuss the harms this new definition has on our</w:t>
      </w:r>
      <w:r w:rsidDel="00000000" w:rsidR="00000000" w:rsidRPr="00000000">
        <w:rPr>
          <w:rFonts w:ascii="Cambria" w:cs="Cambria" w:eastAsia="Cambria" w:hAnsi="Cambria"/>
          <w:sz w:val="24"/>
          <w:szCs w:val="24"/>
          <w:rtl w:val="0"/>
        </w:rPr>
        <w:t xml:space="preserve"> student body.</w:t>
      </w:r>
      <w:r w:rsidDel="00000000" w:rsidR="00000000" w:rsidRPr="00000000">
        <w:rPr>
          <w:rtl w:val="0"/>
        </w:rPr>
      </w:r>
    </w:p>
    <w:p w:rsidR="00000000" w:rsidDel="00000000" w:rsidP="00000000" w:rsidRDefault="00000000" w:rsidRPr="00000000" w14:paraId="00000019">
      <w:pPr>
        <w:spacing w:after="240" w:befor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A">
      <w:pPr>
        <w:spacing w:after="240" w:before="240" w:lineRule="auto"/>
        <w:jc w:val="left"/>
        <w:rPr>
          <w:rFonts w:ascii="Cambria" w:cs="Cambria" w:eastAsia="Cambria" w:hAnsi="Cambria"/>
          <w:sz w:val="24"/>
          <w:szCs w:val="24"/>
        </w:rPr>
      </w:pPr>
      <w:r w:rsidDel="00000000" w:rsidR="00000000" w:rsidRPr="00000000">
        <w:rPr>
          <w:rtl w:val="0"/>
        </w:rPr>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
    <w:p w:rsidR="00000000" w:rsidDel="00000000" w:rsidP="00000000" w:rsidRDefault="00000000" w:rsidRPr="00000000" w14:paraId="0000001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https://chancellor.berkeley.edu/about/principles-community</w:t>
        </w:r>
      </w:hyperlink>
      <w:r w:rsidDel="00000000" w:rsidR="00000000" w:rsidRPr="00000000">
        <w:rPr>
          <w:rtl w:val="0"/>
        </w:rPr>
      </w:r>
    </w:p>
  </w:footnote>
  <w:footnote w:id="2">
    <w:p w:rsidR="00000000" w:rsidDel="00000000" w:rsidP="00000000" w:rsidRDefault="00000000" w:rsidRPr="00000000" w14:paraId="0000001C">
      <w:pPr>
        <w:spacing w:line="240" w:lineRule="auto"/>
        <w:rPr>
          <w:sz w:val="20"/>
          <w:szCs w:val="20"/>
        </w:rPr>
      </w:pPr>
      <w:r w:rsidDel="00000000" w:rsidR="00000000" w:rsidRPr="00000000">
        <w:rPr>
          <w:rStyle w:val="FootnoteReference"/>
          <w:vertAlign w:val="superscript"/>
        </w:rPr>
        <w:footnoteRef/>
      </w:r>
      <w:hyperlink r:id="rId2">
        <w:r w:rsidDel="00000000" w:rsidR="00000000" w:rsidRPr="00000000">
          <w:rPr>
            <w:color w:val="1155cc"/>
            <w:sz w:val="20"/>
            <w:szCs w:val="20"/>
            <w:u w:val="single"/>
            <w:rtl w:val="0"/>
          </w:rPr>
          <w:t xml:space="preserve">https://docs.google.com/document/d/1Qk565835nTJFky68YxK6bwRzsPLE1zRjK0a1psF2_9o/edit?tab=t.0</w:t>
        </w:r>
      </w:hyperlink>
      <w:r w:rsidDel="00000000" w:rsidR="00000000" w:rsidRPr="00000000">
        <w:rPr>
          <w:sz w:val="20"/>
          <w:szCs w:val="20"/>
          <w:rtl w:val="0"/>
        </w:rPr>
        <w:t xml:space="preserve"> </w:t>
      </w:r>
    </w:p>
  </w:footnote>
  <w:footnote w:id="5">
    <w:p w:rsidR="00000000" w:rsidDel="00000000" w:rsidP="00000000" w:rsidRDefault="00000000" w:rsidRPr="00000000" w14:paraId="0000001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Settlement Agreement and General Release, §§ 14(a), 15(b)–(c), pp. 4–6 (Mar. 19, 2026), </w:t>
      </w:r>
      <w:hyperlink r:id="rId3">
        <w:r w:rsidDel="00000000" w:rsidR="00000000" w:rsidRPr="00000000">
          <w:rPr>
            <w:color w:val="1155cc"/>
            <w:sz w:val="20"/>
            <w:szCs w:val="20"/>
            <w:u w:val="single"/>
            <w:rtl w:val="0"/>
          </w:rPr>
          <w:t xml:space="preserve">https://news.berkeley.edu/wp-content/uploads/archive/2026/03/2026.03.19-Settlement-Agreement-Fully-Executed.pdf</w:t>
        </w:r>
      </w:hyperlink>
      <w:r w:rsidDel="00000000" w:rsidR="00000000" w:rsidRPr="00000000">
        <w:rPr>
          <w:rtl w:val="0"/>
        </w:rPr>
      </w:r>
    </w:p>
  </w:footnote>
  <w:footnote w:id="9">
    <w:p w:rsidR="00000000" w:rsidDel="00000000" w:rsidP="00000000" w:rsidRDefault="00000000" w:rsidRPr="00000000" w14:paraId="0000001E">
      <w:pPr>
        <w:spacing w:line="240" w:lineRule="auto"/>
        <w:rPr>
          <w:sz w:val="20"/>
          <w:szCs w:val="20"/>
        </w:rPr>
      </w:pPr>
      <w:r w:rsidDel="00000000" w:rsidR="00000000" w:rsidRPr="00000000">
        <w:rPr>
          <w:rStyle w:val="FootnoteReference"/>
          <w:vertAlign w:val="superscript"/>
        </w:rPr>
        <w:footnoteRef/>
      </w:r>
      <w:hyperlink r:id="rId4">
        <w:r w:rsidDel="00000000" w:rsidR="00000000" w:rsidRPr="00000000">
          <w:rPr>
            <w:color w:val="1155cc"/>
            <w:sz w:val="20"/>
            <w:szCs w:val="20"/>
            <w:u w:val="single"/>
            <w:rtl w:val="0"/>
          </w:rPr>
          <w:t xml:space="preserve">https://www.dailycal.org/opinion/editorials/the-brandeis-settlement-instills-a-culture-of-fear/article_ea76f6e0-5569-464d-a9fb-560b922c5dd7.html</w:t>
        </w:r>
      </w:hyperlink>
      <w:r w:rsidDel="00000000" w:rsidR="00000000" w:rsidRPr="00000000">
        <w:rPr>
          <w:rtl w:val="0"/>
        </w:rPr>
      </w:r>
    </w:p>
  </w:footnote>
  <w:footnote w:id="6">
    <w:p w:rsidR="00000000" w:rsidDel="00000000" w:rsidP="00000000" w:rsidRDefault="00000000" w:rsidRPr="00000000" w14:paraId="0000001F">
      <w:pPr>
        <w:spacing w:line="240" w:lineRule="auto"/>
        <w:rPr>
          <w:sz w:val="20"/>
          <w:szCs w:val="20"/>
        </w:rPr>
      </w:pPr>
      <w:r w:rsidDel="00000000" w:rsidR="00000000" w:rsidRPr="00000000">
        <w:rPr>
          <w:rStyle w:val="FootnoteReference"/>
          <w:vertAlign w:val="superscript"/>
        </w:rPr>
        <w:footnoteRef/>
      </w:r>
      <w:hyperlink r:id="rId5">
        <w:r w:rsidDel="00000000" w:rsidR="00000000" w:rsidRPr="00000000">
          <w:rPr>
            <w:color w:val="1155cc"/>
            <w:sz w:val="20"/>
            <w:szCs w:val="20"/>
            <w:u w:val="single"/>
            <w:rtl w:val="0"/>
          </w:rPr>
          <w:t xml:space="preserve">https://www.dailycal.org/opinion/editorials/the-brandeis-settlement-instills-a-cuBrandeisBrandeisBrandeis CenterlBrandeis Centerture-of-fear/article_ea76f6e0-5569-464d-a9fb-560b922c5dd7.html</w:t>
        </w:r>
      </w:hyperlink>
      <w:r w:rsidDel="00000000" w:rsidR="00000000" w:rsidRPr="00000000">
        <w:rPr>
          <w:rtl w:val="0"/>
        </w:rPr>
      </w:r>
    </w:p>
  </w:footnote>
  <w:footnote w:id="12">
    <w:p w:rsidR="00000000" w:rsidDel="00000000" w:rsidP="00000000" w:rsidRDefault="00000000" w:rsidRPr="00000000" w14:paraId="00000020">
      <w:pPr>
        <w:spacing w:line="240" w:lineRule="auto"/>
        <w:rPr>
          <w:sz w:val="20"/>
          <w:szCs w:val="20"/>
        </w:rPr>
      </w:pPr>
      <w:r w:rsidDel="00000000" w:rsidR="00000000" w:rsidRPr="00000000">
        <w:rPr>
          <w:rStyle w:val="FootnoteReference"/>
          <w:vertAlign w:val="superscript"/>
        </w:rPr>
        <w:footnoteRef/>
      </w:r>
      <w:hyperlink r:id="rId6">
        <w:r w:rsidDel="00000000" w:rsidR="00000000" w:rsidRPr="00000000">
          <w:rPr>
            <w:color w:val="1155cc"/>
            <w:sz w:val="20"/>
            <w:szCs w:val="20"/>
            <w:u w:val="single"/>
            <w:rtl w:val="0"/>
          </w:rPr>
          <w:t xml:space="preserve">https://www.dailycal.org/opinion/editorials/the-brandeis-settlement-instills-a-culture-of-fear/article_ea76f6e0-5569-464d-a9fb-560b922c5dd7.html</w:t>
        </w:r>
      </w:hyperlink>
      <w:r w:rsidDel="00000000" w:rsidR="00000000" w:rsidRPr="00000000">
        <w:rPr>
          <w:sz w:val="20"/>
          <w:szCs w:val="20"/>
          <w:rtl w:val="0"/>
        </w:rPr>
        <w:t xml:space="preserve"> </w:t>
      </w:r>
    </w:p>
  </w:footnote>
  <w:footnote w:id="3">
    <w:p w:rsidR="00000000" w:rsidDel="00000000" w:rsidP="00000000" w:rsidRDefault="00000000" w:rsidRPr="00000000" w14:paraId="0000002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Settlement Agreement and General Release, §§ 9, pp. 4 (Mar. 19, 2026), </w:t>
      </w:r>
      <w:hyperlink r:id="rId7">
        <w:r w:rsidDel="00000000" w:rsidR="00000000" w:rsidRPr="00000000">
          <w:rPr>
            <w:color w:val="1155cc"/>
            <w:sz w:val="20"/>
            <w:szCs w:val="20"/>
            <w:u w:val="single"/>
            <w:rtl w:val="0"/>
          </w:rPr>
          <w:t xml:space="preserve">https://news.berkeley.edu/wp-content/uploads/archive/2026/03/2026.03.19-Settlement-Agreement-Fully-Executed.pdf</w:t>
        </w:r>
      </w:hyperlink>
      <w:r w:rsidDel="00000000" w:rsidR="00000000" w:rsidRPr="00000000">
        <w:rPr>
          <w:rtl w:val="0"/>
        </w:rPr>
      </w:r>
    </w:p>
  </w:footnote>
  <w:footnote w:id="4">
    <w:p w:rsidR="00000000" w:rsidDel="00000000" w:rsidP="00000000" w:rsidRDefault="00000000" w:rsidRPr="00000000" w14:paraId="0000002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Settlement Agreement and General Release, §§ 14(a), pp. 4 (Mar. 19, 2026), </w:t>
      </w:r>
      <w:hyperlink r:id="rId8">
        <w:r w:rsidDel="00000000" w:rsidR="00000000" w:rsidRPr="00000000">
          <w:rPr>
            <w:color w:val="1155cc"/>
            <w:sz w:val="20"/>
            <w:szCs w:val="20"/>
            <w:u w:val="single"/>
            <w:rtl w:val="0"/>
          </w:rPr>
          <w:t xml:space="preserve">https://news.berkeley.edu/wp-content/uploads/archive/2026/03/2026.03.19-Settlement-Agreement-Fully-Executed.pdf</w:t>
        </w:r>
      </w:hyperlink>
      <w:r w:rsidDel="00000000" w:rsidR="00000000" w:rsidRPr="00000000">
        <w:rPr>
          <w:sz w:val="20"/>
          <w:szCs w:val="20"/>
          <w:rtl w:val="0"/>
        </w:rPr>
        <w:t xml:space="preserve"> </w:t>
      </w:r>
    </w:p>
  </w:footnote>
  <w:footnote w:id="11">
    <w:p w:rsidR="00000000" w:rsidDel="00000000" w:rsidP="00000000" w:rsidRDefault="00000000" w:rsidRPr="00000000" w14:paraId="0000002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Settlement Agreement and General Release, §§ 17(d)–(e), pp. 7 (Mar. 19, 2026), </w:t>
      </w:r>
      <w:hyperlink r:id="rId9">
        <w:r w:rsidDel="00000000" w:rsidR="00000000" w:rsidRPr="00000000">
          <w:rPr>
            <w:color w:val="1155cc"/>
            <w:sz w:val="20"/>
            <w:szCs w:val="20"/>
            <w:u w:val="single"/>
            <w:rtl w:val="0"/>
          </w:rPr>
          <w:t xml:space="preserve">https://news.berkeley.edu/wp-content/uploads/archive/2026/03/2026.03.19-Settlement-Agreement-Fully-Executed.pdf</w:t>
        </w:r>
      </w:hyperlink>
      <w:r w:rsidDel="00000000" w:rsidR="00000000" w:rsidRPr="00000000">
        <w:rPr>
          <w:rtl w:val="0"/>
        </w:rPr>
      </w:r>
    </w:p>
  </w:footnote>
  <w:footnote w:id="7">
    <w:p w:rsidR="00000000" w:rsidDel="00000000" w:rsidP="00000000" w:rsidRDefault="00000000" w:rsidRPr="00000000" w14:paraId="00000024">
      <w:pPr>
        <w:spacing w:line="240" w:lineRule="auto"/>
        <w:rPr>
          <w:sz w:val="20"/>
          <w:szCs w:val="20"/>
        </w:rPr>
      </w:pPr>
      <w:r w:rsidDel="00000000" w:rsidR="00000000" w:rsidRPr="00000000">
        <w:rPr>
          <w:rStyle w:val="FootnoteReference"/>
          <w:vertAlign w:val="superscript"/>
        </w:rPr>
        <w:footnoteRef/>
      </w:r>
      <w:hyperlink r:id="rId10">
        <w:r w:rsidDel="00000000" w:rsidR="00000000" w:rsidRPr="00000000">
          <w:rPr>
            <w:color w:val="1155cc"/>
            <w:sz w:val="20"/>
            <w:szCs w:val="20"/>
            <w:u w:val="single"/>
            <w:rtl w:val="0"/>
          </w:rPr>
          <w:t xml:space="preserve">https://www.dailycal.org/news/campus/administration/lyons-asuc-discuss-removal-of-artwork-at-mcc-and-harassment-of-iranian-students/article_6e41748f-72e4-471c-8c1d-cca297d2089f.html</w:t>
        </w:r>
      </w:hyperlink>
      <w:r w:rsidDel="00000000" w:rsidR="00000000" w:rsidRPr="00000000">
        <w:rPr>
          <w:sz w:val="20"/>
          <w:szCs w:val="20"/>
          <w:rtl w:val="0"/>
        </w:rPr>
        <w:t xml:space="preserve"> </w:t>
      </w:r>
    </w:p>
  </w:footnote>
  <w:footnote w:id="10">
    <w:p w:rsidR="00000000" w:rsidDel="00000000" w:rsidP="00000000" w:rsidRDefault="00000000" w:rsidRPr="00000000" w14:paraId="0000002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Settlement Agreement and General Release, §§ 24(d), pp. 13 (Mar. 19, 2026), </w:t>
      </w:r>
      <w:hyperlink r:id="rId11">
        <w:r w:rsidDel="00000000" w:rsidR="00000000" w:rsidRPr="00000000">
          <w:rPr>
            <w:color w:val="1155cc"/>
            <w:sz w:val="20"/>
            <w:szCs w:val="20"/>
            <w:u w:val="single"/>
            <w:rtl w:val="0"/>
          </w:rPr>
          <w:t xml:space="preserve">https://news.berkeley.edu/wp-content/uploads/archive/2026/03/2026.03.19-Settlement-Agreement-Fully-Executed.pdf</w:t>
        </w:r>
      </w:hyperlink>
      <w:r w:rsidDel="00000000" w:rsidR="00000000" w:rsidRPr="00000000">
        <w:rPr>
          <w:rtl w:val="0"/>
        </w:rPr>
      </w:r>
    </w:p>
  </w:footnote>
  <w:footnote w:id="13">
    <w:p w:rsidR="00000000" w:rsidDel="00000000" w:rsidP="00000000" w:rsidRDefault="00000000" w:rsidRPr="00000000" w14:paraId="00000026">
      <w:pPr>
        <w:spacing w:line="240" w:lineRule="auto"/>
        <w:rPr>
          <w:sz w:val="20"/>
          <w:szCs w:val="20"/>
        </w:rPr>
      </w:pPr>
      <w:r w:rsidDel="00000000" w:rsidR="00000000" w:rsidRPr="00000000">
        <w:rPr>
          <w:rStyle w:val="FootnoteReference"/>
          <w:vertAlign w:val="superscript"/>
        </w:rPr>
        <w:footnoteRef/>
      </w:r>
      <w:hyperlink r:id="rId12">
        <w:r w:rsidDel="00000000" w:rsidR="00000000" w:rsidRPr="00000000">
          <w:rPr>
            <w:color w:val="1155cc"/>
            <w:sz w:val="20"/>
            <w:szCs w:val="20"/>
            <w:u w:val="single"/>
            <w:rtl w:val="0"/>
          </w:rPr>
          <w:t xml:space="preserve">https://www.berkeleyside.org/2026/02/05/uc-berkeley-multicultural-community-center</w:t>
        </w:r>
      </w:hyperlink>
      <w:r w:rsidDel="00000000" w:rsidR="00000000" w:rsidRPr="00000000">
        <w:rPr>
          <w:sz w:val="20"/>
          <w:szCs w:val="20"/>
          <w:rtl w:val="0"/>
        </w:rPr>
        <w:t xml:space="preserve"> </w:t>
      </w:r>
    </w:p>
  </w:footnote>
  <w:footnote w:id="14">
    <w:p w:rsidR="00000000" w:rsidDel="00000000" w:rsidP="00000000" w:rsidRDefault="00000000" w:rsidRPr="00000000" w14:paraId="00000028">
      <w:pPr>
        <w:spacing w:line="240" w:lineRule="auto"/>
        <w:rPr>
          <w:sz w:val="20"/>
          <w:szCs w:val="20"/>
        </w:rPr>
      </w:pPr>
      <w:r w:rsidDel="00000000" w:rsidR="00000000" w:rsidRPr="00000000">
        <w:rPr>
          <w:rStyle w:val="FootnoteReference"/>
          <w:vertAlign w:val="superscript"/>
        </w:rPr>
        <w:footnoteRef/>
      </w:r>
      <w:hyperlink r:id="rId13">
        <w:r w:rsidDel="00000000" w:rsidR="00000000" w:rsidRPr="00000000">
          <w:rPr>
            <w:color w:val="1155cc"/>
            <w:sz w:val="20"/>
            <w:szCs w:val="20"/>
            <w:u w:val="single"/>
            <w:rtl w:val="0"/>
          </w:rPr>
          <w:t xml:space="preserve">https://www.dailycal.org/news/campus/administration/lyons-asuc-discuss-removal-of-artwork-at-mcc-and-harassment-of-iranian-students/article_6e41748f-72e4-471c-8c1d-cca297d2089f.html</w:t>
        </w:r>
      </w:hyperlink>
      <w:r w:rsidDel="00000000" w:rsidR="00000000" w:rsidRPr="00000000">
        <w:rPr>
          <w:sz w:val="20"/>
          <w:szCs w:val="20"/>
          <w:rtl w:val="0"/>
        </w:rPr>
        <w:t xml:space="preserve"> </w:t>
      </w:r>
    </w:p>
    <w:p w:rsidR="00000000" w:rsidDel="00000000" w:rsidP="00000000" w:rsidRDefault="00000000" w:rsidRPr="00000000" w14:paraId="00000029">
      <w:pPr>
        <w:spacing w:line="240" w:lineRule="auto"/>
        <w:rPr>
          <w:sz w:val="20"/>
          <w:szCs w:val="20"/>
        </w:rPr>
      </w:pPr>
      <w:r w:rsidDel="00000000" w:rsidR="00000000" w:rsidRPr="00000000">
        <w:rPr>
          <w:rtl w:val="0"/>
        </w:rPr>
      </w:r>
    </w:p>
  </w:footnote>
  <w:footnote w:id="8">
    <w:p w:rsidR="00000000" w:rsidDel="00000000" w:rsidP="00000000" w:rsidRDefault="00000000" w:rsidRPr="00000000" w14:paraId="0000002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4">
        <w:r w:rsidDel="00000000" w:rsidR="00000000" w:rsidRPr="00000000">
          <w:rPr>
            <w:color w:val="1155cc"/>
            <w:sz w:val="20"/>
            <w:szCs w:val="20"/>
            <w:u w:val="single"/>
            <w:rtl w:val="0"/>
          </w:rPr>
          <w:t xml:space="preserve">https://www.berkeleyside.org/2026/02/05/uc-berkeley-multicultural-community-center</w:t>
        </w:r>
      </w:hyperlink>
      <w:r w:rsidDel="00000000" w:rsidR="00000000" w:rsidRPr="00000000">
        <w:rPr>
          <w:sz w:val="20"/>
          <w:szCs w:val="20"/>
          <w:rtl w:val="0"/>
        </w:rPr>
        <w:t xml:space="preserve"> </w:t>
      </w:r>
    </w:p>
  </w:footnote>
  <w:footnote w:id="0">
    <w:p w:rsidR="00000000" w:rsidDel="00000000" w:rsidP="00000000" w:rsidRDefault="00000000" w:rsidRPr="00000000" w14:paraId="0000002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5">
        <w:r w:rsidDel="00000000" w:rsidR="00000000" w:rsidRPr="00000000">
          <w:rPr>
            <w:color w:val="1155cc"/>
            <w:sz w:val="20"/>
            <w:szCs w:val="20"/>
            <w:u w:val="single"/>
            <w:rtl w:val="0"/>
          </w:rPr>
          <w:t xml:space="preserve">https://www.berkeley.edu/free-speech/</w:t>
        </w:r>
      </w:hyperlink>
      <w:r w:rsidDel="00000000" w:rsidR="00000000" w:rsidRPr="00000000">
        <w:rPr>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widowControl w:val="0"/>
      <w:tabs>
        <w:tab w:val="center" w:leader="none" w:pos="5760"/>
        <w:tab w:val="right" w:leader="none" w:pos="8640"/>
      </w:tabs>
      <w:spacing w:line="240" w:lineRule="auto"/>
      <w:jc w:val="right"/>
      <w:rPr>
        <w:rFonts w:ascii="Cambria" w:cs="Cambria" w:eastAsia="Cambria" w:hAnsi="Cambria"/>
        <w:b w:val="1"/>
        <w:bCs w:val="1"/>
      </w:rPr>
    </w:pPr>
    <w:r w:rsidDel="00000000" w:rsidR="00000000" w:rsidRPr="00000000">
      <w:rPr>
        <w:rFonts w:ascii="Cambria" w:cs="Cambria" w:eastAsia="Cambria" w:hAnsi="Cambria"/>
        <w:b w:val="1"/>
        <w:bCs w:val="1"/>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D">
    <w:pPr>
      <w:widowControl w:val="0"/>
      <w:tabs>
        <w:tab w:val="center" w:leader="none" w:pos="5760"/>
        <w:tab w:val="right" w:leader="none" w:pos="8640"/>
      </w:tabs>
      <w:spacing w:line="240" w:lineRule="auto"/>
      <w:jc w:val="right"/>
      <w:rPr>
        <w:rFonts w:ascii="Cambria" w:cs="Cambria" w:eastAsia="Cambria" w:hAnsi="Cambria"/>
        <w:b w:val="1"/>
        <w:bCs w:val="1"/>
      </w:rPr>
    </w:pPr>
    <w:r w:rsidDel="00000000" w:rsidR="00000000" w:rsidRPr="00000000">
      <w:rPr>
        <w:rFonts w:ascii="Cambria" w:cs="Cambria" w:eastAsia="Cambria" w:hAnsi="Cambria"/>
        <w:b w:val="1"/>
        <w:bCs w:val="1"/>
        <w:rtl w:val="0"/>
      </w:rPr>
      <w:t xml:space="preserve">Senate Resolution </w:t>
    </w:r>
  </w:p>
  <w:p w:rsidR="00000000" w:rsidDel="00000000" w:rsidP="00000000" w:rsidRDefault="00000000" w:rsidRPr="00000000" w14:paraId="0000002E">
    <w:pPr>
      <w:widowControl w:val="0"/>
      <w:tabs>
        <w:tab w:val="center" w:leader="none" w:pos="5760"/>
        <w:tab w:val="right" w:leader="none" w:pos="8640"/>
      </w:tabs>
      <w:spacing w:line="240" w:lineRule="auto"/>
      <w:jc w:val="right"/>
      <w:rPr>
        <w:sz w:val="26"/>
        <w:szCs w:val="26"/>
      </w:rPr>
    </w:pPr>
    <w:r w:rsidDel="00000000" w:rsidR="00000000" w:rsidRPr="00000000">
      <w:rPr>
        <w:rFonts w:ascii="Cambria" w:cs="Cambria" w:eastAsia="Cambria" w:hAnsi="Cambria"/>
        <w:b w:val="1"/>
        <w:bCs w:val="1"/>
        <w:rtl w:val="0"/>
      </w:rPr>
      <w:t xml:space="preserve">26/27-016</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1" Type="http://schemas.openxmlformats.org/officeDocument/2006/relationships/hyperlink" Target="https://news.berkeley.edu/wp-content/uploads/archive/2026/03/2026.03.19-Settlement-Agreement-Fully-Executed.pdf" TargetMode="External"/><Relationship Id="rId10" Type="http://schemas.openxmlformats.org/officeDocument/2006/relationships/hyperlink" Target="https://www.dailycal.org/news/campus/administration/lyons-asuc-discuss-removal-of-artwork-at-mcc-and-harassment-of-iranian-students/article_6e41748f-72e4-471c-8c1d-cca297d2089f.html" TargetMode="External"/><Relationship Id="rId13" Type="http://schemas.openxmlformats.org/officeDocument/2006/relationships/hyperlink" Target="https://www.dailycal.org/news/campus/administration/lyons-asuc-discuss-removal-of-artwork-at-mcc-and-harassment-of-iranian-students/article_6e41748f-72e4-471c-8c1d-cca297d2089f.html" TargetMode="External"/><Relationship Id="rId12" Type="http://schemas.openxmlformats.org/officeDocument/2006/relationships/hyperlink" Target="https://www.berkeleyside.org/2026/02/05/uc-berkeley-multicultural-community-center" TargetMode="External"/><Relationship Id="rId1" Type="http://schemas.openxmlformats.org/officeDocument/2006/relationships/hyperlink" Target="https://chancellor.berkeley.edu/about/principles-community" TargetMode="External"/><Relationship Id="rId2" Type="http://schemas.openxmlformats.org/officeDocument/2006/relationships/hyperlink" Target="https://docs.google.com/document/d/1Qk565835nTJFky68YxK6bwRzsPLE1zRjK0a1psF2_9o/edit?tab=t.0" TargetMode="External"/><Relationship Id="rId3" Type="http://schemas.openxmlformats.org/officeDocument/2006/relationships/hyperlink" Target="https://news.berkeley.edu/wp-content/uploads/archive/2026/03/2026.03.19-Settlement-Agreement-Fully-Executed.pdf" TargetMode="External"/><Relationship Id="rId4" Type="http://schemas.openxmlformats.org/officeDocument/2006/relationships/hyperlink" Target="https://www.dailycal.org/opinion/editorials/the-brandeis-settlement-instills-a-culture-of-fear/article_ea76f6e0-5569-464d-a9fb-560b922c5dd7.html" TargetMode="External"/><Relationship Id="rId9" Type="http://schemas.openxmlformats.org/officeDocument/2006/relationships/hyperlink" Target="https://news.berkeley.edu/wp-content/uploads/archive/2026/03/2026.03.19-Settlement-Agreement-Fully-Executed.pdf" TargetMode="External"/><Relationship Id="rId15" Type="http://schemas.openxmlformats.org/officeDocument/2006/relationships/hyperlink" Target="https://www.berkeley.edu/free-speech/" TargetMode="External"/><Relationship Id="rId14" Type="http://schemas.openxmlformats.org/officeDocument/2006/relationships/hyperlink" Target="https://www.berkeleyside.org/2026/02/05/uc-berkeley-multicultural-community-center" TargetMode="External"/><Relationship Id="rId5" Type="http://schemas.openxmlformats.org/officeDocument/2006/relationships/hyperlink" Target="https://www.dailycal.org/opinion/editorials/the-brandeis-settlement-instills-a-culture-of-fear/article_ea76f6e0-5569-464d-a9fb-560b922c5dd7.html" TargetMode="External"/><Relationship Id="rId6" Type="http://schemas.openxmlformats.org/officeDocument/2006/relationships/hyperlink" Target="https://www.dailycal.org/opinion/editorials/the-brandeis-settlement-instills-a-culture-of-fear/article_ea76f6e0-5569-464d-a9fb-560b922c5dd7.html" TargetMode="External"/><Relationship Id="rId7" Type="http://schemas.openxmlformats.org/officeDocument/2006/relationships/hyperlink" Target="https://news.berkeley.edu/wp-content/uploads/archive/2026/03/2026.03.19-Settlement-Agreement-Fully-Executed.pdf" TargetMode="External"/><Relationship Id="rId8" Type="http://schemas.openxmlformats.org/officeDocument/2006/relationships/hyperlink" Target="https://news.berkeley.edu/wp-content/uploads/archive/2026/03/2026.03.19-Settlement-Agreement-Fully-Execut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