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pPr>
      <w:r w:rsidDel="00000000" w:rsidR="00000000" w:rsidRPr="00000000">
        <w:rPr>
          <w:rtl w:val="0"/>
        </w:rPr>
        <w:t xml:space="preserve">  </w:t>
      </w:r>
      <w:r w:rsidDel="00000000" w:rsidR="00000000" w:rsidRPr="00000000">
        <w:rPr/>
        <w:drawing>
          <wp:inline distB="114300" distT="114300" distL="114300" distR="114300">
            <wp:extent cx="1766888" cy="176688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6888"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widowControl w:val="0"/>
        <w:spacing w:line="240" w:lineRule="auto"/>
        <w:jc w:val="center"/>
        <w:rPr/>
      </w:pPr>
      <w:bookmarkStart w:colFirst="0" w:colLast="0" w:name="_2aiotb71xne3" w:id="0"/>
      <w:bookmarkEnd w:id="0"/>
      <w:r w:rsidDel="00000000" w:rsidR="00000000" w:rsidRPr="00000000">
        <w:rPr>
          <w:rtl w:val="0"/>
        </w:rPr>
        <w:t xml:space="preserve">Senate Resolution No. 2026/2027-009</w:t>
      </w:r>
    </w:p>
    <w:p w:rsidR="00000000" w:rsidDel="00000000" w:rsidP="00000000" w:rsidRDefault="00000000" w:rsidRPr="00000000" w14:paraId="00000003">
      <w:pPr>
        <w:widowControl w:val="0"/>
        <w:spacing w:line="240" w:lineRule="auto"/>
        <w:jc w:val="center"/>
        <w:rPr>
          <w:b w:val="1"/>
          <w:bCs w:val="1"/>
          <w:i w:val="1"/>
          <w:iCs w:val="1"/>
          <w:sz w:val="28"/>
          <w:szCs w:val="28"/>
        </w:rPr>
      </w:pPr>
      <w:r w:rsidDel="00000000" w:rsidR="00000000" w:rsidRPr="00000000">
        <w:rPr>
          <w:b w:val="1"/>
          <w:bCs w:val="1"/>
          <w:i w:val="1"/>
          <w:iCs w:val="1"/>
          <w:sz w:val="28"/>
          <w:szCs w:val="28"/>
          <w:rtl w:val="0"/>
        </w:rPr>
        <w:t xml:space="preserve">In Support of the Joint Resolutions (S. J. Res 213 &amp; H. J. Res 215): </w:t>
      </w:r>
    </w:p>
    <w:p w:rsidR="00000000" w:rsidDel="00000000" w:rsidP="00000000" w:rsidRDefault="00000000" w:rsidRPr="00000000" w14:paraId="00000004">
      <w:pPr>
        <w:widowControl w:val="0"/>
        <w:spacing w:line="240" w:lineRule="auto"/>
        <w:jc w:val="center"/>
        <w:rPr>
          <w:b w:val="1"/>
          <w:bCs w:val="1"/>
          <w:i w:val="1"/>
          <w:iCs w:val="1"/>
          <w:sz w:val="28"/>
          <w:szCs w:val="28"/>
          <w:highlight w:val="white"/>
        </w:rPr>
      </w:pPr>
      <w:r w:rsidDel="00000000" w:rsidR="00000000" w:rsidRPr="00000000">
        <w:rPr>
          <w:b w:val="1"/>
          <w:bCs w:val="1"/>
          <w:i w:val="1"/>
          <w:iCs w:val="1"/>
          <w:sz w:val="28"/>
          <w:szCs w:val="28"/>
          <w:rtl w:val="0"/>
        </w:rPr>
        <w:t xml:space="preserve">Congressional Review Act (CRA) on DHS Student Visa Rule</w:t>
      </w:r>
      <w:r w:rsidDel="00000000" w:rsidR="00000000" w:rsidRPr="00000000">
        <w:rPr>
          <w:rtl w:val="0"/>
        </w:rPr>
      </w:r>
    </w:p>
    <w:p w:rsidR="00000000" w:rsidDel="00000000" w:rsidP="00000000" w:rsidRDefault="00000000" w:rsidRPr="00000000" w14:paraId="00000005">
      <w:pPr>
        <w:widowControl w:val="0"/>
        <w:spacing w:line="240" w:lineRule="auto"/>
        <w:jc w:val="center"/>
        <w:rPr>
          <w:b w:val="1"/>
          <w:bCs w:val="1"/>
          <w:i w:val="1"/>
          <w:iCs w:val="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jc w:val="center"/>
        <w:rPr>
          <w:b w:val="1"/>
          <w:bCs w:val="1"/>
          <w:sz w:val="22"/>
          <w:szCs w:val="22"/>
        </w:rPr>
      </w:pPr>
      <w:r w:rsidDel="00000000" w:rsidR="00000000" w:rsidRPr="00000000">
        <w:rPr>
          <w:b w:val="1"/>
          <w:bCs w:val="1"/>
          <w:sz w:val="22"/>
          <w:szCs w:val="22"/>
          <w:rtl w:val="0"/>
        </w:rPr>
        <w:t xml:space="preserve">Primary Sponsors:</w:t>
      </w:r>
    </w:p>
    <w:p w:rsidR="00000000" w:rsidDel="00000000" w:rsidP="00000000" w:rsidRDefault="00000000" w:rsidRPr="00000000" w14:paraId="00000007">
      <w:pPr>
        <w:jc w:val="center"/>
        <w:rPr>
          <w:sz w:val="22"/>
          <w:szCs w:val="22"/>
        </w:rPr>
      </w:pPr>
      <w:r w:rsidDel="00000000" w:rsidR="00000000" w:rsidRPr="00000000">
        <w:rPr>
          <w:sz w:val="22"/>
          <w:szCs w:val="22"/>
          <w:rtl w:val="0"/>
        </w:rPr>
        <w:t xml:space="preserve">Selina Mendez (ASUC Executive Affairs Vice President), Sandra Ding (ASUC Senator), Tigran Aghbalyan (ASUC Senator), Gurnoor Patti (ASUC Senator), Nikita Jadhav (ASUC Senator)</w:t>
      </w:r>
    </w:p>
    <w:p w:rsidR="00000000" w:rsidDel="00000000" w:rsidP="00000000" w:rsidRDefault="00000000" w:rsidRPr="00000000" w14:paraId="00000008">
      <w:pPr>
        <w:jc w:val="center"/>
        <w:rPr>
          <w:sz w:val="22"/>
          <w:szCs w:val="22"/>
        </w:rPr>
      </w:pPr>
      <w:r w:rsidDel="00000000" w:rsidR="00000000" w:rsidRPr="00000000">
        <w:rPr>
          <w:rtl w:val="0"/>
        </w:rPr>
      </w:r>
    </w:p>
    <w:p w:rsidR="00000000" w:rsidDel="00000000" w:rsidP="00000000" w:rsidRDefault="00000000" w:rsidRPr="00000000" w14:paraId="00000009">
      <w:pPr>
        <w:jc w:val="center"/>
        <w:rPr>
          <w:b w:val="1"/>
          <w:bCs w:val="1"/>
          <w:sz w:val="22"/>
          <w:szCs w:val="22"/>
        </w:rPr>
      </w:pPr>
      <w:r w:rsidDel="00000000" w:rsidR="00000000" w:rsidRPr="00000000">
        <w:rPr>
          <w:b w:val="1"/>
          <w:bCs w:val="1"/>
          <w:sz w:val="22"/>
          <w:szCs w:val="22"/>
          <w:rtl w:val="0"/>
        </w:rPr>
        <w:t xml:space="preserve">Cosponsors:   </w:t>
      </w:r>
    </w:p>
    <w:p w:rsidR="00000000" w:rsidDel="00000000" w:rsidP="00000000" w:rsidRDefault="00000000" w:rsidRPr="00000000" w14:paraId="0000000A">
      <w:pPr>
        <w:jc w:val="center"/>
        <w:rPr>
          <w:sz w:val="22"/>
          <w:szCs w:val="22"/>
        </w:rPr>
      </w:pPr>
      <w:r w:rsidDel="00000000" w:rsidR="00000000" w:rsidRPr="00000000">
        <w:rPr>
          <w:sz w:val="22"/>
          <w:szCs w:val="22"/>
          <w:rtl w:val="0"/>
        </w:rPr>
        <w:t xml:space="preserve">Rayne Xue (UCSA International Student Appointed Officer), Clarinde Sanft (UCSA Legislative </w:t>
      </w:r>
      <w:r w:rsidDel="00000000" w:rsidR="00000000" w:rsidRPr="00000000">
        <w:rPr>
          <w:sz w:val="22"/>
          <w:szCs w:val="22"/>
          <w:rtl w:val="0"/>
        </w:rPr>
        <w:t xml:space="preserve">Director</w:t>
      </w:r>
      <w:r w:rsidDel="00000000" w:rsidR="00000000" w:rsidRPr="00000000">
        <w:rPr>
          <w:sz w:val="22"/>
          <w:szCs w:val="22"/>
          <w:rtl w:val="0"/>
        </w:rPr>
        <w:t xml:space="preserve">), Duke Dela Rosa (UCSA Government Relations Chair, EAVP Legislative Director), Alexandra Lu (Chief of Staff, ASUC Office of Senator Sandra Ding), Liz Martinez (Director of Immigrant &amp; Undocumented Student Support, ASUC Office of Senator Nikita Jadhav), Karen Li (Director of East Asian Culture &amp; Relations, ASUC Office of Senator Sandra Ding, Director of Community Relations, ASUC Office of the Executive Vice President)</w:t>
      </w:r>
    </w:p>
    <w:p w:rsidR="00000000" w:rsidDel="00000000" w:rsidP="00000000" w:rsidRDefault="00000000" w:rsidRPr="00000000" w14:paraId="0000000B">
      <w:pPr>
        <w:rPr>
          <w:sz w:val="22"/>
          <w:szCs w:val="22"/>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C">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On July 17, 2026, the U.S Department of Homeland Security (DHS) published a final rule which eliminates Duration of Status (91 FR 44976</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and </w:t>
      </w:r>
      <w:r w:rsidDel="00000000" w:rsidR="00000000" w:rsidRPr="00000000">
        <w:rPr>
          <w:sz w:val="22"/>
          <w:szCs w:val="22"/>
          <w:rtl w:val="0"/>
        </w:rPr>
        <w:t xml:space="preserve">the rule was set to take effect on September 15, 2026, and would remain in effect unless additional congressional review;</w:t>
      </w:r>
      <w:r w:rsidDel="00000000" w:rsidR="00000000" w:rsidRPr="00000000">
        <w:rPr>
          <w:sz w:val="22"/>
          <w:szCs w:val="22"/>
          <w:vertAlign w:val="superscript"/>
        </w:rPr>
        <w:footnoteReference w:customMarkFollows="0" w:id="1"/>
      </w:r>
      <w:r w:rsidDel="00000000" w:rsidR="00000000" w:rsidRPr="00000000">
        <w:rPr>
          <w:sz w:val="22"/>
          <w:szCs w:val="22"/>
          <w:rtl w:val="0"/>
        </w:rPr>
        <w:t xml:space="preserve"> and,</w:t>
      </w:r>
      <w:r w:rsidDel="00000000" w:rsidR="00000000" w:rsidRPr="00000000">
        <w:rPr>
          <w:rtl w:val="0"/>
        </w:rPr>
      </w:r>
    </w:p>
    <w:p w:rsidR="00000000" w:rsidDel="00000000" w:rsidP="00000000" w:rsidRDefault="00000000" w:rsidRPr="00000000" w14:paraId="0000000D">
      <w:pPr>
        <w:rPr>
          <w:sz w:val="22"/>
          <w:szCs w:val="22"/>
        </w:rPr>
      </w:pPr>
      <w:r w:rsidDel="00000000" w:rsidR="00000000" w:rsidRPr="00000000">
        <w:rPr>
          <w:rtl w:val="0"/>
        </w:rPr>
      </w:r>
    </w:p>
    <w:p w:rsidR="00000000" w:rsidDel="00000000" w:rsidP="00000000" w:rsidRDefault="00000000" w:rsidRPr="00000000" w14:paraId="0000000E">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some of the direct results of this ruling were the following: </w:t>
      </w:r>
      <w:r w:rsidDel="00000000" w:rsidR="00000000" w:rsidRPr="00000000">
        <w:rPr>
          <w:sz w:val="22"/>
          <w:szCs w:val="22"/>
          <w:rtl w:val="0"/>
        </w:rPr>
        <w:t xml:space="preserve">a fixed</w:t>
      </w:r>
      <w:r w:rsidDel="00000000" w:rsidR="00000000" w:rsidRPr="00000000">
        <w:rPr>
          <w:sz w:val="22"/>
          <w:szCs w:val="22"/>
          <w:rtl w:val="0"/>
        </w:rPr>
        <w:t xml:space="preserve"> “Admit Until Date” for  F-1 and J-1 visa </w:t>
      </w:r>
      <w:r w:rsidDel="00000000" w:rsidR="00000000" w:rsidRPr="00000000">
        <w:rPr>
          <w:sz w:val="22"/>
          <w:szCs w:val="22"/>
          <w:rtl w:val="0"/>
        </w:rPr>
        <w:t xml:space="preserve">holders that caps their stay at a 4-year maximum</w:t>
      </w:r>
      <w:r w:rsidDel="00000000" w:rsidR="00000000" w:rsidRPr="00000000">
        <w:rPr>
          <w:sz w:val="22"/>
          <w:szCs w:val="22"/>
          <w:rtl w:val="0"/>
        </w:rPr>
        <w:t xml:space="preserve"> unless they file for an extension of stay </w:t>
      </w:r>
      <w:r w:rsidDel="00000000" w:rsidR="00000000" w:rsidRPr="00000000">
        <w:rPr>
          <w:sz w:val="22"/>
          <w:szCs w:val="22"/>
          <w:rtl w:val="0"/>
        </w:rPr>
        <w:t xml:space="preserve">with the U.S.</w:t>
      </w:r>
      <w:r w:rsidDel="00000000" w:rsidR="00000000" w:rsidRPr="00000000">
        <w:rPr>
          <w:sz w:val="22"/>
          <w:szCs w:val="22"/>
          <w:rtl w:val="0"/>
        </w:rPr>
        <w:t xml:space="preserve"> Citizenship and Immigration Services (USCIS); and,</w:t>
      </w:r>
    </w:p>
    <w:p w:rsidR="00000000" w:rsidDel="00000000" w:rsidP="00000000" w:rsidRDefault="00000000" w:rsidRPr="00000000" w14:paraId="0000000F">
      <w:pPr>
        <w:rPr>
          <w:b w:val="1"/>
          <w:bCs w:val="1"/>
          <w:sz w:val="22"/>
          <w:szCs w:val="22"/>
        </w:rPr>
      </w:pPr>
      <w:r w:rsidDel="00000000" w:rsidR="00000000" w:rsidRPr="00000000">
        <w:rPr>
          <w:rtl w:val="0"/>
        </w:rPr>
      </w:r>
    </w:p>
    <w:p w:rsidR="00000000" w:rsidDel="00000000" w:rsidP="00000000" w:rsidRDefault="00000000" w:rsidRPr="00000000" w14:paraId="00000010">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this rule also puts restrictions on academic mobility for undergraduate and graduate students, prohibiting both from changing their fields of study and transferring schools within a given timeframe or permanently; and,</w:t>
      </w:r>
      <w:r w:rsidDel="00000000" w:rsidR="00000000" w:rsidRPr="00000000">
        <w:rPr>
          <w:rtl w:val="0"/>
        </w:rPr>
      </w:r>
    </w:p>
    <w:p w:rsidR="00000000" w:rsidDel="00000000" w:rsidP="00000000" w:rsidRDefault="00000000" w:rsidRPr="00000000" w14:paraId="00000011">
      <w:pPr>
        <w:rPr>
          <w:sz w:val="22"/>
          <w:szCs w:val="22"/>
        </w:rPr>
      </w:pPr>
      <w:r w:rsidDel="00000000" w:rsidR="00000000" w:rsidRPr="00000000">
        <w:rPr>
          <w:rtl w:val="0"/>
        </w:rPr>
      </w:r>
    </w:p>
    <w:p w:rsidR="00000000" w:rsidDel="00000000" w:rsidP="00000000" w:rsidRDefault="00000000" w:rsidRPr="00000000" w14:paraId="00000012">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U.S. Citizenship and Immigration Services (USCIS)’ </w:t>
      </w:r>
      <w:r w:rsidDel="00000000" w:rsidR="00000000" w:rsidRPr="00000000">
        <w:rPr>
          <w:sz w:val="22"/>
          <w:szCs w:val="22"/>
          <w:rtl w:val="0"/>
        </w:rPr>
        <w:t xml:space="preserve">processing speed is extremely low, with more than 30% of received petitions left unprocessed and 24.1 months for USCIS to clear its pending casework backlog;</w:t>
      </w:r>
      <w:r w:rsidDel="00000000" w:rsidR="00000000" w:rsidRPr="00000000">
        <w:rPr>
          <w:sz w:val="22"/>
          <w:szCs w:val="22"/>
          <w:vertAlign w:val="superscript"/>
        </w:rPr>
        <w:footnoteReference w:customMarkFollows="0" w:id="2"/>
      </w:r>
      <w:r w:rsidDel="00000000" w:rsidR="00000000" w:rsidRPr="00000000">
        <w:rPr>
          <w:sz w:val="22"/>
          <w:szCs w:val="22"/>
          <w:rtl w:val="0"/>
        </w:rPr>
        <w:t xml:space="preserve"> and,</w:t>
      </w:r>
      <w:r w:rsidDel="00000000" w:rsidR="00000000" w:rsidRPr="00000000">
        <w:rPr>
          <w:rtl w:val="0"/>
        </w:rPr>
      </w:r>
    </w:p>
    <w:p w:rsidR="00000000" w:rsidDel="00000000" w:rsidP="00000000" w:rsidRDefault="00000000" w:rsidRPr="00000000" w14:paraId="00000013">
      <w:pPr>
        <w:rPr>
          <w:b w:val="1"/>
          <w:bCs w:val="1"/>
          <w:sz w:val="22"/>
          <w:szCs w:val="22"/>
        </w:rPr>
      </w:pPr>
      <w:r w:rsidDel="00000000" w:rsidR="00000000" w:rsidRPr="00000000">
        <w:rPr>
          <w:rtl w:val="0"/>
        </w:rPr>
      </w:r>
    </w:p>
    <w:p w:rsidR="00000000" w:rsidDel="00000000" w:rsidP="00000000" w:rsidRDefault="00000000" w:rsidRPr="00000000" w14:paraId="00000014">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UC Berkeley enrolled 7,302 international students in the 2025 Fall term, which represents about 15% of the campus student body across both undergraduate and graduate programs;</w:t>
      </w:r>
      <w:r w:rsidDel="00000000" w:rsidR="00000000" w:rsidRPr="00000000">
        <w:rPr>
          <w:rFonts w:ascii="Times New Roman" w:cs="Times New Roman" w:eastAsia="Times New Roman" w:hAnsi="Times New Roman"/>
          <w:color w:val="0e101a"/>
          <w:sz w:val="22"/>
          <w:szCs w:val="22"/>
          <w:vertAlign w:val="superscript"/>
        </w:rPr>
        <w:footnoteReference w:customMarkFollows="0" w:id="3"/>
      </w:r>
      <w:r w:rsidDel="00000000" w:rsidR="00000000" w:rsidRPr="00000000">
        <w:rPr>
          <w:rFonts w:ascii="Times New Roman" w:cs="Times New Roman" w:eastAsia="Times New Roman" w:hAnsi="Times New Roman"/>
          <w:color w:val="0e101a"/>
          <w:sz w:val="22"/>
          <w:szCs w:val="22"/>
          <w:rtl w:val="0"/>
        </w:rPr>
        <w:t xml:space="preserve"> and, </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15">
      <w:pPr>
        <w:rPr>
          <w:sz w:val="22"/>
          <w:szCs w:val="22"/>
        </w:rPr>
      </w:pPr>
      <w:r w:rsidDel="00000000" w:rsidR="00000000" w:rsidRPr="00000000">
        <w:rPr>
          <w:rtl w:val="0"/>
        </w:rPr>
      </w:r>
    </w:p>
    <w:p w:rsidR="00000000" w:rsidDel="00000000" w:rsidP="00000000" w:rsidRDefault="00000000" w:rsidRPr="00000000" w14:paraId="00000016">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On September 14, 2026, one day before the rule was supposed to take effect, the United States District Court in the District of Massachusetts issued a ruling on the enforceability of the previous DHS final rule,</w:t>
      </w:r>
      <w:r w:rsidDel="00000000" w:rsidR="00000000" w:rsidRPr="00000000">
        <w:rPr>
          <w:sz w:val="22"/>
          <w:szCs w:val="22"/>
          <w:vertAlign w:val="superscript"/>
        </w:rPr>
        <w:footnoteReference w:customMarkFollows="0" w:id="4"/>
      </w:r>
      <w:r w:rsidDel="00000000" w:rsidR="00000000" w:rsidRPr="00000000">
        <w:rPr>
          <w:sz w:val="22"/>
          <w:szCs w:val="22"/>
          <w:rtl w:val="0"/>
        </w:rPr>
        <w:t xml:space="preserve">  thus blocking the Department of Homeland Security from eliminating the status that would’ve applied to F-1 students, J-1 exchange visitors, and those holding I visas; and,</w:t>
      </w:r>
    </w:p>
    <w:p w:rsidR="00000000" w:rsidDel="00000000" w:rsidP="00000000" w:rsidRDefault="00000000" w:rsidRPr="00000000" w14:paraId="00000017">
      <w:pPr>
        <w:rPr>
          <w:sz w:val="22"/>
          <w:szCs w:val="22"/>
        </w:rPr>
      </w:pPr>
      <w:r w:rsidDel="00000000" w:rsidR="00000000" w:rsidRPr="00000000">
        <w:rPr>
          <w:rtl w:val="0"/>
        </w:rPr>
      </w:r>
    </w:p>
    <w:p w:rsidR="00000000" w:rsidDel="00000000" w:rsidP="00000000" w:rsidRDefault="00000000" w:rsidRPr="00000000" w14:paraId="00000018">
      <w:pPr>
        <w:rPr>
          <w:sz w:val="22"/>
          <w:szCs w:val="22"/>
        </w:rPr>
      </w:pPr>
      <w:r w:rsidDel="00000000" w:rsidR="00000000" w:rsidRPr="00000000">
        <w:rPr>
          <w:b w:val="1"/>
          <w:bCs w:val="1"/>
          <w:sz w:val="22"/>
          <w:szCs w:val="22"/>
          <w:rtl w:val="0"/>
        </w:rPr>
        <w:t xml:space="preserve">WHEREAS, </w:t>
      </w:r>
      <w:r w:rsidDel="00000000" w:rsidR="00000000" w:rsidRPr="00000000">
        <w:rPr>
          <w:sz w:val="22"/>
          <w:szCs w:val="22"/>
          <w:rtl w:val="0"/>
        </w:rPr>
        <w:t xml:space="preserve">this ruling would not eliminate the potential enforcement from the DHS Final Rule since the injunction only postponed the effective date and did agree to nullify the rule; and,</w:t>
      </w:r>
    </w:p>
    <w:p w:rsidR="00000000" w:rsidDel="00000000" w:rsidP="00000000" w:rsidRDefault="00000000" w:rsidRPr="00000000" w14:paraId="00000019">
      <w:pPr>
        <w:rPr>
          <w:sz w:val="22"/>
          <w:szCs w:val="22"/>
        </w:rPr>
      </w:pPr>
      <w:r w:rsidDel="00000000" w:rsidR="00000000" w:rsidRPr="00000000">
        <w:rPr>
          <w:rtl w:val="0"/>
        </w:rPr>
      </w:r>
    </w:p>
    <w:p w:rsidR="00000000" w:rsidDel="00000000" w:rsidP="00000000" w:rsidRDefault="00000000" w:rsidRPr="00000000" w14:paraId="0000001A">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Congressional Review Act (CRA) is “...is a tool Congress can use to overturn certain federal agency actions”</w:t>
      </w:r>
      <w:r w:rsidDel="00000000" w:rsidR="00000000" w:rsidRPr="00000000">
        <w:rPr>
          <w:sz w:val="22"/>
          <w:szCs w:val="22"/>
          <w:vertAlign w:val="superscript"/>
        </w:rPr>
        <w:footnoteReference w:customMarkFollows="0" w:id="5"/>
      </w:r>
      <w:r w:rsidDel="00000000" w:rsidR="00000000" w:rsidRPr="00000000">
        <w:rPr>
          <w:sz w:val="22"/>
          <w:szCs w:val="22"/>
          <w:rtl w:val="0"/>
        </w:rPr>
        <w:t xml:space="preserve">. The CRA was enacted as part of the Small Business Regulatory Enforcement Fairness Act in 1996. The CRA requires agencies to report the issuance of "</w:t>
      </w:r>
      <w:hyperlink r:id="rId8">
        <w:r w:rsidDel="00000000" w:rsidR="00000000" w:rsidRPr="00000000">
          <w:rPr>
            <w:sz w:val="22"/>
            <w:szCs w:val="22"/>
            <w:rtl w:val="0"/>
          </w:rPr>
          <w:t xml:space="preserve">rules</w:t>
        </w:r>
      </w:hyperlink>
      <w:r w:rsidDel="00000000" w:rsidR="00000000" w:rsidRPr="00000000">
        <w:rPr>
          <w:sz w:val="22"/>
          <w:szCs w:val="22"/>
          <w:rtl w:val="0"/>
        </w:rPr>
        <w:t xml:space="preserve">" to Congress and provides Congress with special procedures, in the form of a joint resolution of disapproval, under which to consider legislation to overturn rules. If a CRA joint resolution of disapproval is approved by both houses of Congress and signed by the President, or if Congress successfully overrides a presidential veto, the rule at issue cannot go into effect or continue in effect; and,</w:t>
      </w:r>
      <w:r w:rsidDel="00000000" w:rsidR="00000000" w:rsidRPr="00000000">
        <w:rPr>
          <w:rtl w:val="0"/>
        </w:rPr>
      </w:r>
    </w:p>
    <w:p w:rsidR="00000000" w:rsidDel="00000000" w:rsidP="00000000" w:rsidRDefault="00000000" w:rsidRPr="00000000" w14:paraId="0000001B">
      <w:pPr>
        <w:rPr>
          <w:b w:val="1"/>
          <w:bCs w:val="1"/>
          <w:sz w:val="22"/>
          <w:szCs w:val="22"/>
        </w:rPr>
      </w:pPr>
      <w:r w:rsidDel="00000000" w:rsidR="00000000" w:rsidRPr="00000000">
        <w:rPr>
          <w:rtl w:val="0"/>
        </w:rPr>
      </w:r>
    </w:p>
    <w:p w:rsidR="00000000" w:rsidDel="00000000" w:rsidP="00000000" w:rsidRDefault="00000000" w:rsidRPr="00000000" w14:paraId="0000001C">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on September 14, 2026, Senators Dick Durbin, Richard Blumental, Alex Padilla, and Sheldon Whitehouse introduced a joint CRA resolution of disapproval to overturn the DHS Final Rule from the Senate,</w:t>
      </w:r>
      <w:r w:rsidDel="00000000" w:rsidR="00000000" w:rsidRPr="00000000">
        <w:rPr>
          <w:sz w:val="22"/>
          <w:szCs w:val="22"/>
          <w:vertAlign w:val="superscript"/>
        </w:rPr>
        <w:footnoteReference w:customMarkFollows="0" w:id="6"/>
      </w:r>
      <w:r w:rsidDel="00000000" w:rsidR="00000000" w:rsidRPr="00000000">
        <w:rPr>
          <w:sz w:val="22"/>
          <w:szCs w:val="22"/>
          <w:rtl w:val="0"/>
        </w:rPr>
        <w:t xml:space="preserve"> with Representatives Pramila Jayapal and Jamie Raskin leading the companion resolution in the House; and,</w:t>
      </w:r>
    </w:p>
    <w:p w:rsidR="00000000" w:rsidDel="00000000" w:rsidP="00000000" w:rsidRDefault="00000000" w:rsidRPr="00000000" w14:paraId="0000001D">
      <w:pPr>
        <w:rPr>
          <w:b w:val="1"/>
          <w:bCs w:val="1"/>
          <w:sz w:val="22"/>
          <w:szCs w:val="22"/>
        </w:rPr>
      </w:pPr>
      <w:r w:rsidDel="00000000" w:rsidR="00000000" w:rsidRPr="00000000">
        <w:rPr>
          <w:rtl w:val="0"/>
        </w:rPr>
      </w:r>
    </w:p>
    <w:p w:rsidR="00000000" w:rsidDel="00000000" w:rsidP="00000000" w:rsidRDefault="00000000" w:rsidRPr="00000000" w14:paraId="0000001E">
      <w:pPr>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that the Associated Students of the University of California will formally support the Congressional Review Act on Student Visa Rule (DHS, 91 FR 44976).</w:t>
      </w:r>
    </w:p>
    <w:p w:rsidR="00000000" w:rsidDel="00000000" w:rsidP="00000000" w:rsidRDefault="00000000" w:rsidRPr="00000000" w14:paraId="0000001F">
      <w:pPr>
        <w:rPr>
          <w:sz w:val="22"/>
          <w:szCs w:val="22"/>
        </w:rPr>
      </w:pPr>
      <w:r w:rsidDel="00000000" w:rsidR="00000000" w:rsidRPr="00000000">
        <w:rPr>
          <w:rtl w:val="0"/>
        </w:rPr>
      </w:r>
    </w:p>
    <w:p w:rsidR="00000000" w:rsidDel="00000000" w:rsidP="00000000" w:rsidRDefault="00000000" w:rsidRPr="00000000" w14:paraId="00000020">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will appoint correspondents from the office of the External Affairs Vice President (EAVP) to spearhead the communication with California Congressional delegates for </w:t>
      </w:r>
      <w:r w:rsidDel="00000000" w:rsidR="00000000" w:rsidRPr="00000000">
        <w:rPr>
          <w:sz w:val="22"/>
          <w:szCs w:val="22"/>
          <w:rtl w:val="0"/>
        </w:rPr>
        <w:t xml:space="preserve">cosponsorship in H.J.Res 215</w:t>
      </w:r>
      <w:r w:rsidDel="00000000" w:rsidR="00000000" w:rsidRPr="00000000">
        <w:rPr>
          <w:sz w:val="22"/>
          <w:szCs w:val="22"/>
          <w:vertAlign w:val="superscript"/>
        </w:rPr>
        <w:footnoteReference w:customMarkFollows="0" w:id="7"/>
      </w:r>
      <w:r w:rsidDel="00000000" w:rsidR="00000000" w:rsidRPr="00000000">
        <w:rPr>
          <w:sz w:val="22"/>
          <w:szCs w:val="22"/>
          <w:rtl w:val="0"/>
        </w:rPr>
        <w:t xml:space="preserve"> and with California Senate delegates for consponsorship in S.J. Res 213</w:t>
      </w:r>
      <w:r w:rsidDel="00000000" w:rsidR="00000000" w:rsidRPr="00000000">
        <w:rPr>
          <w:sz w:val="22"/>
          <w:szCs w:val="22"/>
          <w:vertAlign w:val="superscript"/>
        </w:rPr>
        <w:footnoteReference w:customMarkFollows="0" w:id="8"/>
      </w:r>
      <w:r w:rsidDel="00000000" w:rsidR="00000000" w:rsidRPr="00000000">
        <w:rPr>
          <w:sz w:val="22"/>
          <w:szCs w:val="22"/>
          <w:rtl w:val="0"/>
        </w:rPr>
        <w:t xml:space="preserve">, and following up for sustained support; and,</w:t>
      </w:r>
    </w:p>
    <w:p w:rsidR="00000000" w:rsidDel="00000000" w:rsidP="00000000" w:rsidRDefault="00000000" w:rsidRPr="00000000" w14:paraId="00000021">
      <w:pPr>
        <w:rPr>
          <w:sz w:val="22"/>
          <w:szCs w:val="22"/>
        </w:rPr>
      </w:pPr>
      <w:r w:rsidDel="00000000" w:rsidR="00000000" w:rsidRPr="00000000">
        <w:rPr>
          <w:rtl w:val="0"/>
        </w:rPr>
      </w:r>
    </w:p>
    <w:p w:rsidR="00000000" w:rsidDel="00000000" w:rsidP="00000000" w:rsidRDefault="00000000" w:rsidRPr="00000000" w14:paraId="00000022">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EAVP will lead this community-wide initiative, releasing guides for the </w:t>
      </w:r>
      <w:r w:rsidDel="00000000" w:rsidR="00000000" w:rsidRPr="00000000">
        <w:rPr>
          <w:sz w:val="22"/>
          <w:szCs w:val="22"/>
          <w:rtl w:val="0"/>
        </w:rPr>
        <w:t xml:space="preserve">campus community</w:t>
      </w:r>
      <w:r w:rsidDel="00000000" w:rsidR="00000000" w:rsidRPr="00000000">
        <w:rPr>
          <w:sz w:val="22"/>
          <w:szCs w:val="22"/>
          <w:rtl w:val="0"/>
        </w:rPr>
        <w:t xml:space="preserve"> to be aware of the ongoing situation and encourage the community to contact their respective member of congress; and,</w:t>
      </w:r>
    </w:p>
    <w:p w:rsidR="00000000" w:rsidDel="00000000" w:rsidP="00000000" w:rsidRDefault="00000000" w:rsidRPr="00000000" w14:paraId="00000023">
      <w:pPr>
        <w:rPr>
          <w:sz w:val="22"/>
          <w:szCs w:val="22"/>
        </w:rPr>
      </w:pPr>
      <w:r w:rsidDel="00000000" w:rsidR="00000000" w:rsidRPr="00000000">
        <w:rPr>
          <w:rtl w:val="0"/>
        </w:rPr>
      </w:r>
    </w:p>
    <w:p w:rsidR="00000000" w:rsidDel="00000000" w:rsidP="00000000" w:rsidRDefault="00000000" w:rsidRPr="00000000" w14:paraId="00000024">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will continue to promote and platform NAFSA’s campaign entitled “Urge Congress to Reject DHS’ Plan to End Duration of Status”</w:t>
      </w:r>
      <w:r w:rsidDel="00000000" w:rsidR="00000000" w:rsidRPr="00000000">
        <w:rPr>
          <w:sz w:val="22"/>
          <w:szCs w:val="22"/>
          <w:vertAlign w:val="superscript"/>
        </w:rPr>
        <w:footnoteReference w:customMarkFollows="0" w:id="9"/>
      </w:r>
      <w:r w:rsidDel="00000000" w:rsidR="00000000" w:rsidRPr="00000000">
        <w:rPr>
          <w:sz w:val="22"/>
          <w:szCs w:val="22"/>
          <w:rtl w:val="0"/>
        </w:rPr>
        <w:t xml:space="preserve"> and encourage UC Berkeley community members to support it through advocacy efforts; and, </w:t>
      </w:r>
    </w:p>
    <w:p w:rsidR="00000000" w:rsidDel="00000000" w:rsidP="00000000" w:rsidRDefault="00000000" w:rsidRPr="00000000" w14:paraId="00000025">
      <w:pPr>
        <w:rPr>
          <w:sz w:val="22"/>
          <w:szCs w:val="22"/>
        </w:rPr>
      </w:pPr>
      <w:r w:rsidDel="00000000" w:rsidR="00000000" w:rsidRPr="00000000">
        <w:rPr>
          <w:rtl w:val="0"/>
        </w:rPr>
      </w:r>
    </w:p>
    <w:p w:rsidR="00000000" w:rsidDel="00000000" w:rsidP="00000000" w:rsidRDefault="00000000" w:rsidRPr="00000000" w14:paraId="00000026">
      <w:pPr>
        <w:rPr>
          <w:sz w:val="22"/>
          <w:szCs w:val="22"/>
        </w:rPr>
      </w:pPr>
      <w:r w:rsidDel="00000000" w:rsidR="00000000" w:rsidRPr="00000000">
        <w:rPr>
          <w:b w:val="1"/>
          <w:bCs w:val="1"/>
          <w:sz w:val="22"/>
          <w:szCs w:val="22"/>
          <w:rtl w:val="0"/>
        </w:rPr>
        <w:t xml:space="preserve">THEREFORE IT BE FURTHER RESOLVED</w:t>
      </w:r>
      <w:r w:rsidDel="00000000" w:rsidR="00000000" w:rsidRPr="00000000">
        <w:rPr>
          <w:sz w:val="22"/>
          <w:szCs w:val="22"/>
          <w:rtl w:val="0"/>
        </w:rPr>
        <w:t xml:space="preserve">, </w:t>
      </w:r>
      <w:r w:rsidDel="00000000" w:rsidR="00000000" w:rsidRPr="00000000">
        <w:rPr>
          <w:sz w:val="22"/>
          <w:szCs w:val="22"/>
          <w:rtl w:val="0"/>
        </w:rPr>
        <w:t xml:space="preserve">that the ASUC will appoint correspondents from both the Senate and the office of the EAVP to author an official letter to Senator Padilla’s office thanking his office for spearheading the CRA </w:t>
      </w:r>
      <w:r w:rsidDel="00000000" w:rsidR="00000000" w:rsidRPr="00000000">
        <w:rPr>
          <w:sz w:val="22"/>
          <w:szCs w:val="22"/>
          <w:rtl w:val="0"/>
        </w:rPr>
        <w:t xml:space="preserve">initiative</w:t>
      </w:r>
      <w:r w:rsidDel="00000000" w:rsidR="00000000" w:rsidRPr="00000000">
        <w:rPr>
          <w:sz w:val="22"/>
          <w:szCs w:val="22"/>
          <w:rtl w:val="0"/>
        </w:rPr>
        <w:t xml:space="preserve">, and urging Senator Schiff and </w:t>
      </w:r>
      <w:r w:rsidDel="00000000" w:rsidR="00000000" w:rsidRPr="00000000">
        <w:rPr>
          <w:sz w:val="22"/>
          <w:szCs w:val="22"/>
          <w:rtl w:val="0"/>
        </w:rPr>
        <w:t xml:space="preserve">Representative Simon</w:t>
      </w:r>
      <w:r w:rsidDel="00000000" w:rsidR="00000000" w:rsidRPr="00000000">
        <w:rPr>
          <w:sz w:val="22"/>
          <w:szCs w:val="22"/>
          <w:rtl w:val="0"/>
        </w:rPr>
        <w:t xml:space="preserve"> to take similar action if capacity allows; and,</w:t>
      </w:r>
      <w:r w:rsidDel="00000000" w:rsidR="00000000" w:rsidRPr="00000000">
        <w:rPr>
          <w:rtl w:val="0"/>
        </w:rPr>
      </w:r>
    </w:p>
    <w:p w:rsidR="00000000" w:rsidDel="00000000" w:rsidP="00000000" w:rsidRDefault="00000000" w:rsidRPr="00000000" w14:paraId="00000027">
      <w:pPr>
        <w:rPr>
          <w:sz w:val="22"/>
          <w:szCs w:val="22"/>
        </w:rPr>
      </w:pPr>
      <w:r w:rsidDel="00000000" w:rsidR="00000000" w:rsidRPr="00000000">
        <w:rPr>
          <w:rtl w:val="0"/>
        </w:rPr>
      </w:r>
    </w:p>
    <w:p w:rsidR="00000000" w:rsidDel="00000000" w:rsidP="00000000" w:rsidRDefault="00000000" w:rsidRPr="00000000" w14:paraId="00000028">
      <w:pPr>
        <w:rPr>
          <w:sz w:val="22"/>
          <w:szCs w:val="22"/>
        </w:rPr>
      </w:pPr>
      <w:r w:rsidDel="00000000" w:rsidR="00000000" w:rsidRPr="00000000">
        <w:rPr>
          <w:b w:val="1"/>
          <w:bCs w:val="1"/>
          <w:sz w:val="22"/>
          <w:szCs w:val="22"/>
          <w:rtl w:val="0"/>
        </w:rPr>
        <w:t xml:space="preserve">THEREFORE BE IT FINALLY RESOLVED</w:t>
      </w:r>
      <w:r w:rsidDel="00000000" w:rsidR="00000000" w:rsidRPr="00000000">
        <w:rPr>
          <w:sz w:val="22"/>
          <w:szCs w:val="22"/>
          <w:rtl w:val="0"/>
        </w:rPr>
        <w:t xml:space="preserve">, </w:t>
      </w:r>
      <w:r w:rsidDel="00000000" w:rsidR="00000000" w:rsidRPr="00000000">
        <w:rPr>
          <w:sz w:val="22"/>
          <w:szCs w:val="22"/>
          <w:rtl w:val="0"/>
        </w:rPr>
        <w:t xml:space="preserve">that the above motions will be primarily enacted by the joint efforts among EAVP and senators, and progress will be tracked through the weekly International Student Affairs Committee meetings.</w:t>
      </w: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3">
    <w:p w:rsidR="00000000" w:rsidDel="00000000" w:rsidP="00000000" w:rsidRDefault="00000000" w:rsidRPr="00000000" w14:paraId="0000002B">
      <w:pPr>
        <w:spacing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e101a"/>
          <w:sz w:val="20"/>
          <w:szCs w:val="20"/>
          <w:rtl w:val="0"/>
        </w:rPr>
        <w:t xml:space="preserve">Berkeley International Office,</w:t>
      </w:r>
      <w:r w:rsidDel="00000000" w:rsidR="00000000" w:rsidRPr="00000000">
        <w:rPr>
          <w:rFonts w:ascii="Times New Roman" w:cs="Times New Roman" w:eastAsia="Times New Roman" w:hAnsi="Times New Roman"/>
          <w:color w:val="0e101a"/>
          <w:sz w:val="20"/>
          <w:szCs w:val="20"/>
          <w:rtl w:val="0"/>
        </w:rPr>
        <w:t xml:space="preserve"> International Student Enrollment - Fall 2025,</w:t>
      </w:r>
      <w:r w:rsidDel="00000000" w:rsidR="00000000" w:rsidRPr="00000000">
        <w:rPr>
          <w:rFonts w:ascii="Times New Roman" w:cs="Times New Roman" w:eastAsia="Times New Roman" w:hAnsi="Times New Roman"/>
          <w:color w:val="0e101a"/>
          <w:sz w:val="20"/>
          <w:szCs w:val="20"/>
          <w:rtl w:val="0"/>
        </w:rPr>
        <w:t xml:space="preserve"> </w:t>
      </w:r>
      <w:hyperlink r:id="rId1">
        <w:r w:rsidDel="00000000" w:rsidR="00000000" w:rsidRPr="00000000">
          <w:rPr>
            <w:rFonts w:ascii="Times New Roman" w:cs="Times New Roman" w:eastAsia="Times New Roman" w:hAnsi="Times New Roman"/>
            <w:color w:val="0e101a"/>
            <w:sz w:val="20"/>
            <w:szCs w:val="20"/>
            <w:rtl w:val="0"/>
          </w:rPr>
          <w:t xml:space="preserve">https://internationaloffice.berkeley.edu/sites/default/files/student-stats2025.pdf</w:t>
        </w:r>
      </w:hyperlink>
      <w:r w:rsidDel="00000000" w:rsidR="00000000" w:rsidRPr="00000000">
        <w:rPr>
          <w:rtl w:val="0"/>
        </w:rPr>
      </w:r>
    </w:p>
  </w:footnote>
  <w:footnote w:id="0">
    <w:p w:rsidR="00000000" w:rsidDel="00000000" w:rsidP="00000000" w:rsidRDefault="00000000" w:rsidRPr="00000000" w14:paraId="0000002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0e101a"/>
          <w:sz w:val="20"/>
          <w:szCs w:val="20"/>
          <w:rtl w:val="0"/>
        </w:rPr>
        <w:t xml:space="preserve">U.S. Department of Homeland Security, </w:t>
      </w:r>
      <w:hyperlink r:id="rId2">
        <w:r w:rsidDel="00000000" w:rsidR="00000000" w:rsidRPr="00000000">
          <w:rPr>
            <w:rFonts w:ascii="Times New Roman" w:cs="Times New Roman" w:eastAsia="Times New Roman" w:hAnsi="Times New Roman"/>
            <w:i w:val="1"/>
            <w:iCs w:val="1"/>
            <w:color w:val="1155cc"/>
            <w:sz w:val="20"/>
            <w:szCs w:val="20"/>
            <w:u w:val="single"/>
            <w:rtl w:val="0"/>
          </w:rPr>
          <w:t xml:space="preserve">Establishing a Fixed Time Period of Admission and an Extension of Stay Procedure for Nonimmigrant Academic Students, Exchange Visitors, and Representatives of Foreign Information Media (Final Rule)</w:t>
        </w:r>
      </w:hyperlink>
      <w:r w:rsidDel="00000000" w:rsidR="00000000" w:rsidRPr="00000000">
        <w:rPr>
          <w:rFonts w:ascii="Times New Roman" w:cs="Times New Roman" w:eastAsia="Times New Roman" w:hAnsi="Times New Roman"/>
          <w:color w:val="0e101a"/>
          <w:sz w:val="20"/>
          <w:szCs w:val="20"/>
          <w:rtl w:val="0"/>
        </w:rPr>
        <w:t xml:space="preserve">, 91 FR 44976, July 17, 2026. RIN 1653-AA95.</w:t>
      </w:r>
      <w:r w:rsidDel="00000000" w:rsidR="00000000" w:rsidRPr="00000000">
        <w:rPr>
          <w:rtl w:val="0"/>
        </w:rPr>
      </w:r>
    </w:p>
  </w:footnote>
  <w:footnote w:id="1">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0e101a"/>
          <w:sz w:val="20"/>
          <w:szCs w:val="20"/>
          <w:rtl w:val="0"/>
        </w:rPr>
        <w:t xml:space="preserve">NAFSA: Association of International Educators, </w:t>
      </w:r>
      <w:r w:rsidDel="00000000" w:rsidR="00000000" w:rsidRPr="00000000">
        <w:rPr>
          <w:rFonts w:ascii="Times New Roman" w:cs="Times New Roman" w:eastAsia="Times New Roman" w:hAnsi="Times New Roman"/>
          <w:i w:val="1"/>
          <w:iCs w:val="1"/>
          <w:color w:val="0e101a"/>
          <w:sz w:val="20"/>
          <w:szCs w:val="20"/>
          <w:rtl w:val="0"/>
        </w:rPr>
        <w:t xml:space="preserve">DHS Final Rule Ending Duration of Status and Imposing Academic Mobility Restrictions</w:t>
      </w:r>
      <w:r w:rsidDel="00000000" w:rsidR="00000000" w:rsidRPr="00000000">
        <w:rPr>
          <w:rFonts w:ascii="Times New Roman" w:cs="Times New Roman" w:eastAsia="Times New Roman" w:hAnsi="Times New Roman"/>
          <w:color w:val="0e101a"/>
          <w:sz w:val="20"/>
          <w:szCs w:val="20"/>
          <w:rtl w:val="0"/>
        </w:rPr>
        <w:t xml:space="preserve">, nafsa.org (2026),</w:t>
      </w:r>
      <w:hyperlink r:id="rId3">
        <w:r w:rsidDel="00000000" w:rsidR="00000000" w:rsidRPr="00000000">
          <w:rPr>
            <w:rFonts w:ascii="Times New Roman" w:cs="Times New Roman" w:eastAsia="Times New Roman" w:hAnsi="Times New Roman"/>
            <w:color w:val="0e101a"/>
            <w:sz w:val="20"/>
            <w:szCs w:val="20"/>
            <w:rtl w:val="0"/>
          </w:rPr>
          <w:t xml:space="preserve"> </w:t>
        </w:r>
      </w:hyperlink>
      <w:hyperlink r:id="rId4">
        <w:r w:rsidDel="00000000" w:rsidR="00000000" w:rsidRPr="00000000">
          <w:rPr>
            <w:rFonts w:ascii="Times New Roman" w:cs="Times New Roman" w:eastAsia="Times New Roman" w:hAnsi="Times New Roman"/>
            <w:color w:val="1155cc"/>
            <w:sz w:val="20"/>
            <w:szCs w:val="20"/>
            <w:u w:val="single"/>
            <w:rtl w:val="0"/>
          </w:rPr>
          <w:t xml:space="preserve">https://www.nafsa.org/regulatory-information/dhs-final-rule-ending-duration-status-and-imposing-academic-mobility</w:t>
        </w:r>
      </w:hyperlink>
      <w:r w:rsidDel="00000000" w:rsidR="00000000" w:rsidRPr="00000000">
        <w:rPr>
          <w:rtl w:val="0"/>
        </w:rPr>
      </w:r>
    </w:p>
  </w:footnote>
  <w:footnote w:id="4">
    <w:p w:rsidR="00000000" w:rsidDel="00000000" w:rsidP="00000000" w:rsidRDefault="00000000" w:rsidRPr="00000000" w14:paraId="0000002E">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e101a"/>
          <w:sz w:val="20"/>
          <w:szCs w:val="20"/>
          <w:rtl w:val="0"/>
        </w:rPr>
        <w:t xml:space="preserve">UNITED STATES DISTRICT COURT DISTRICT OF MASSACHUSETTS, PRELIMINARY INJUNCTION ORDER POSTPONING EFFECTIVE DATE OF FINAL RULE, https://storage.courtlistener.com/recap/gov.uscourts.mad.305059/gov.uscourts.mad.305059.51.0.pdf</w:t>
      </w:r>
      <w:r w:rsidDel="00000000" w:rsidR="00000000" w:rsidRPr="00000000">
        <w:rPr>
          <w:rtl w:val="0"/>
        </w:rPr>
      </w:r>
    </w:p>
  </w:footnote>
  <w:footnote w:id="2">
    <w:p w:rsidR="00000000" w:rsidDel="00000000" w:rsidP="00000000" w:rsidRDefault="00000000" w:rsidRPr="00000000" w14:paraId="0000002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0e101a"/>
          <w:sz w:val="20"/>
          <w:szCs w:val="20"/>
          <w:rtl w:val="0"/>
        </w:rPr>
        <w:t xml:space="preserve">USCIS Immigration Filing Trends, Graph: Backlog Clearance Time in Month, </w:t>
      </w:r>
      <w:hyperlink r:id="rId5">
        <w:r w:rsidDel="00000000" w:rsidR="00000000" w:rsidRPr="00000000">
          <w:rPr>
            <w:rFonts w:ascii="Times New Roman" w:cs="Times New Roman" w:eastAsia="Times New Roman" w:hAnsi="Times New Roman"/>
            <w:color w:val="1155cc"/>
            <w:sz w:val="20"/>
            <w:szCs w:val="20"/>
            <w:u w:val="single"/>
            <w:rtl w:val="0"/>
          </w:rPr>
          <w:t xml:space="preserve">https://www.americanimmigrationcouncil.org/uscis-immigration-filing-trends/</w:t>
        </w:r>
      </w:hyperlink>
      <w:r w:rsidDel="00000000" w:rsidR="00000000" w:rsidRPr="00000000">
        <w:rPr>
          <w:rtl w:val="0"/>
        </w:rPr>
      </w:r>
    </w:p>
  </w:footnote>
  <w:footnote w:id="7">
    <w:p w:rsidR="00000000" w:rsidDel="00000000" w:rsidP="00000000" w:rsidRDefault="00000000" w:rsidRPr="00000000" w14:paraId="00000030">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e101a"/>
          <w:sz w:val="20"/>
          <w:szCs w:val="20"/>
          <w:rtl w:val="0"/>
        </w:rPr>
        <w:t xml:space="preserve"> 119th Congress 2nd Session, H. J. Res. 215, https://www.govinfo.gov/content/pkg/BILLS-119hjres215ih/pdf/BILLS-119hjres215ih.pdf</w:t>
      </w:r>
      <w:r w:rsidDel="00000000" w:rsidR="00000000" w:rsidRPr="00000000">
        <w:rPr>
          <w:rtl w:val="0"/>
        </w:rPr>
      </w:r>
    </w:p>
  </w:footnote>
  <w:footnote w:id="9">
    <w:p w:rsidR="00000000" w:rsidDel="00000000" w:rsidP="00000000" w:rsidRDefault="00000000" w:rsidRPr="00000000" w14:paraId="00000032">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e101a"/>
          <w:sz w:val="20"/>
          <w:szCs w:val="20"/>
          <w:rtl w:val="0"/>
        </w:rPr>
        <w:t xml:space="preserve"> Association of Internal Educators, “Urge Congress to Reject DHS’ Plan to End Duration of Status,” https://www.nafsa.org/Dont-End-DS</w:t>
      </w:r>
      <w:r w:rsidDel="00000000" w:rsidR="00000000" w:rsidRPr="00000000">
        <w:rPr>
          <w:sz w:val="20"/>
          <w:szCs w:val="20"/>
          <w:rtl w:val="0"/>
        </w:rPr>
        <w:t xml:space="preserve"> </w:t>
      </w:r>
    </w:p>
  </w:footnote>
  <w:footnote w:id="6">
    <w:p w:rsidR="00000000" w:rsidDel="00000000" w:rsidP="00000000" w:rsidRDefault="00000000" w:rsidRPr="00000000" w14:paraId="0000003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color w:val="0e101a"/>
          <w:sz w:val="20"/>
          <w:szCs w:val="20"/>
          <w:rtl w:val="0"/>
        </w:rPr>
        <w:t xml:space="preserve"> U.S. Senator Dick Durbin, “Durbin, Blumenthal, Padilla, Whitehouse, Jayapal, Raskin Introduce CRA Resolution of Disapproval Regarding Regulation That Changes How International Students &amp; Journalists Maintain Immigration Status,” September 14, 2026, https://www.durbin.senate.gov/newsroom/press-releases/durbin-blumenthal-padilla-whitehouse-jayapal-raskin-introduce-cra-resolution-of-disapproval-regarding-regulation-that-changes-how-international-students-and-journalists-maintain-immigration-status </w:t>
      </w:r>
      <w:r w:rsidDel="00000000" w:rsidR="00000000" w:rsidRPr="00000000">
        <w:rPr>
          <w:rtl w:val="0"/>
        </w:rPr>
      </w:r>
    </w:p>
  </w:footnote>
  <w:footnote w:id="5">
    <w:p w:rsidR="00000000" w:rsidDel="00000000" w:rsidP="00000000" w:rsidRDefault="00000000" w:rsidRPr="00000000" w14:paraId="0000003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e101a"/>
          <w:sz w:val="20"/>
          <w:szCs w:val="20"/>
          <w:rtl w:val="0"/>
        </w:rPr>
        <w:t xml:space="preserve"> </w:t>
      </w:r>
      <w:r w:rsidDel="00000000" w:rsidR="00000000" w:rsidRPr="00000000">
        <w:rPr>
          <w:rFonts w:ascii="Times New Roman" w:cs="Times New Roman" w:eastAsia="Times New Roman" w:hAnsi="Times New Roman"/>
          <w:sz w:val="20"/>
          <w:szCs w:val="20"/>
          <w:rtl w:val="0"/>
        </w:rPr>
        <w:t xml:space="preserve">The Congressional Review Act (CRA): A Brief Overview, https://www.congress.gov/crs-product/IF10023</w:t>
      </w:r>
    </w:p>
  </w:footnote>
  <w:footnote w:id="8">
    <w:p w:rsidR="00000000" w:rsidDel="00000000" w:rsidP="00000000" w:rsidRDefault="00000000" w:rsidRPr="00000000" w14:paraId="00000035">
      <w:pPr>
        <w:spacing w:line="240" w:lineRule="auto"/>
        <w:rPr>
          <w:rFonts w:ascii="Times New Roman" w:cs="Times New Roman" w:eastAsia="Times New Roman" w:hAnsi="Times New Roman"/>
          <w:color w:val="0e101a"/>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e101a"/>
          <w:sz w:val="20"/>
          <w:szCs w:val="20"/>
          <w:rtl w:val="0"/>
        </w:rPr>
        <w:t xml:space="preserve"> S.J.Res.213 — 119th Congress (2025-2026),</w:t>
      </w:r>
    </w:p>
    <w:p w:rsidR="00000000" w:rsidDel="00000000" w:rsidP="00000000" w:rsidRDefault="00000000" w:rsidRPr="00000000" w14:paraId="00000036">
      <w:pPr>
        <w:spacing w:line="240" w:lineRule="auto"/>
        <w:rPr>
          <w:sz w:val="20"/>
          <w:szCs w:val="20"/>
        </w:rPr>
      </w:pPr>
      <w:r w:rsidDel="00000000" w:rsidR="00000000" w:rsidRPr="00000000">
        <w:rPr>
          <w:rFonts w:ascii="Times New Roman" w:cs="Times New Roman" w:eastAsia="Times New Roman" w:hAnsi="Times New Roman"/>
          <w:color w:val="0e101a"/>
          <w:sz w:val="20"/>
          <w:szCs w:val="20"/>
          <w:rtl w:val="0"/>
        </w:rPr>
        <w:t xml:space="preserve">https://www.congress.gov/bill/119th-congress/senate-joint-resolution/213</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jc w:val="right"/>
      <w:rPr/>
    </w:pPr>
    <w:r w:rsidDel="00000000" w:rsidR="00000000" w:rsidRPr="00000000">
      <w:rPr>
        <w:rtl w:val="0"/>
      </w:rPr>
      <w:t xml:space="preserve">SR 26/27-009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Cambria" w:cs="Cambria" w:eastAsia="Cambria" w:hAnsi="Cambria"/>
      <w:b w:val="1"/>
      <w:bCs w:val="1"/>
      <w:sz w:val="36"/>
      <w:szCs w:val="36"/>
    </w:rPr>
  </w:style>
  <w:style w:type="paragraph" w:styleId="Heading2">
    <w:name w:val="heading 2"/>
    <w:basedOn w:val="Normal"/>
    <w:next w:val="Normal"/>
    <w:pPr>
      <w:keepNext w:val="1"/>
      <w:keepLines w:val="1"/>
    </w:pPr>
    <w:rPr>
      <w:rFonts w:ascii="Cambria" w:cs="Cambria" w:eastAsia="Cambria" w:hAnsi="Cambria"/>
      <w:b w:val="1"/>
      <w:bCs w:val="1"/>
      <w:sz w:val="28"/>
      <w:szCs w:val="28"/>
    </w:rPr>
  </w:style>
  <w:style w:type="paragraph" w:styleId="Heading3">
    <w:name w:val="heading 3"/>
    <w:basedOn w:val="Normal"/>
    <w:next w:val="Normal"/>
    <w:pPr>
      <w:keepNext w:val="1"/>
      <w:keepLines w:val="1"/>
    </w:pPr>
    <w:rPr>
      <w:rFonts w:ascii="Cambria" w:cs="Cambria" w:eastAsia="Cambria" w:hAnsi="Cambria"/>
      <w:b w:val="1"/>
      <w:bCs w:val="1"/>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rFonts w:ascii="Cambria" w:cs="Cambria" w:eastAsia="Cambria" w:hAnsi="Cambria"/>
      <w:b w:val="1"/>
      <w:bCs w:val="1"/>
      <w:sz w:val="60"/>
      <w:szCs w:val="6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www.congress.gov/crs-product/R4524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internationaloffice.berkeley.edu/sites/default/files/student-stats2025.pdf" TargetMode="External"/><Relationship Id="rId2" Type="http://schemas.openxmlformats.org/officeDocument/2006/relationships/hyperlink" Target="https://www.federalregister.gov/public-inspection/2026-14439/establishing-a-fixed-time-period-of-admission-and-an-extension-of-stay-procedure-for-nonimmigrant" TargetMode="External"/><Relationship Id="rId3" Type="http://schemas.openxmlformats.org/officeDocument/2006/relationships/hyperlink" Target="https://www.nafsa.org/regulatory-information/dhs-final-rule-ending-duration-status-and-imposing-academic-mobility" TargetMode="External"/><Relationship Id="rId4" Type="http://schemas.openxmlformats.org/officeDocument/2006/relationships/hyperlink" Target="https://www.nafsa.org/regulatory-information/dhs-final-rule-ending-duration-status-and-imposing-academic-mobility" TargetMode="External"/><Relationship Id="rId5" Type="http://schemas.openxmlformats.org/officeDocument/2006/relationships/hyperlink" Target="https://www.americanimmigrationcouncil.org/uscis-immigration-filing-tre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