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No.2026/2027- 007</w:t>
      </w:r>
    </w:p>
    <w:p w:rsidR="00000000" w:rsidDel="00000000" w:rsidP="00000000" w:rsidRDefault="00000000" w:rsidRPr="00000000" w14:paraId="00000004">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i w:val="1"/>
          <w:iCs w:val="1"/>
          <w:sz w:val="32"/>
          <w:szCs w:val="32"/>
          <w:rtl w:val="0"/>
        </w:rPr>
        <w:t xml:space="preserve">Establishing the ASUC Divestment Ad-Hoc Committee</w:t>
      </w:r>
      <w:r w:rsidDel="00000000" w:rsidR="00000000" w:rsidRPr="00000000">
        <w:pict>
          <v:rect style="width:0.0pt;height:1.5pt" o:hr="t" o:hrstd="t" o:hralign="center" fillcolor="#A0A0A0" stroked="f"/>
        </w:pict>
      </w:r>
      <w:r w:rsidDel="00000000" w:rsidR="00000000" w:rsidRPr="00000000">
        <w:rPr>
          <w:rFonts w:ascii="Cambria" w:cs="Cambria" w:eastAsia="Cambria" w:hAnsi="Cambria"/>
          <w:b w:val="1"/>
          <w:bCs w:val="1"/>
          <w:sz w:val="24"/>
          <w:szCs w:val="24"/>
          <w:rtl w:val="0"/>
        </w:rPr>
        <w:t xml:space="preserve">Primary Sponsor</w:t>
        <w:br w:type="textWrapping"/>
      </w:r>
      <w:r w:rsidDel="00000000" w:rsidR="00000000" w:rsidRPr="00000000">
        <w:rPr>
          <w:rFonts w:ascii="Cambria" w:cs="Cambria" w:eastAsia="Cambria" w:hAnsi="Cambria"/>
          <w:sz w:val="24"/>
          <w:szCs w:val="24"/>
          <w:rtl w:val="0"/>
        </w:rPr>
        <w:t xml:space="preserve"> Margaret Solomon (ASUC President)</w:t>
      </w:r>
    </w:p>
    <w:p w:rsidR="00000000" w:rsidDel="00000000" w:rsidP="00000000" w:rsidRDefault="00000000" w:rsidRPr="00000000" w14:paraId="00000005">
      <w:pPr>
        <w:widowControl w:val="0"/>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Co-Authors</w:t>
      </w:r>
    </w:p>
    <w:p w:rsidR="00000000" w:rsidDel="00000000" w:rsidP="00000000" w:rsidRDefault="00000000" w:rsidRPr="00000000" w14:paraId="00000007">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Bella Santos (ASUC President Head of Staff), Lia Le-Nguyen (Organizer)</w:t>
      </w:r>
    </w:p>
    <w:p w:rsidR="00000000" w:rsidDel="00000000" w:rsidP="00000000" w:rsidRDefault="00000000" w:rsidRPr="00000000" w14:paraId="00000008">
      <w:pPr>
        <w:spacing w:after="240" w:before="240"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Cosponsors</w:t>
        <w:br w:type="textWrapping"/>
      </w:r>
      <w:r w:rsidDel="00000000" w:rsidR="00000000" w:rsidRPr="00000000">
        <w:rPr>
          <w:rFonts w:ascii="Cambria" w:cs="Cambria" w:eastAsia="Cambria" w:hAnsi="Cambria"/>
          <w:sz w:val="24"/>
          <w:szCs w:val="24"/>
          <w:rtl w:val="0"/>
        </w:rPr>
        <w:t xml:space="preserve">Leah Parvini (ASUC Eco-Office Divestment Director), Maddie Chesebro (ASUC Senator), Aarja Singh (ASUC Senator), Ryan Justice-Williams (ASUC Senator), Sydnee Thy (ASUC Executive Vice President), Mi Tang (ASUC Senator), Gurnoor Patti (ASUC Senator), Nikita Jadhav (ASUC Senator), Omar Espinoza (ASUC Senator), Selina Mendez (ASUC EAVP), Varsha Torpunuri (ASUC Transfer Student Representative), Sandra Ding (ASUC Senator), Cece Hammond (ASUC Senator), Hailey Cho (ASUC Senator), Nicolle Aguilar (ASUC Senator), Emma Enríquez (ASUC Senator), Gabby Torres (Pilipinx Community Endorsed &amp; Pre-Health Community ASUC Senator)</w:t>
      </w:r>
    </w:p>
    <w:p w:rsidR="00000000" w:rsidDel="00000000" w:rsidP="00000000" w:rsidRDefault="00000000" w:rsidRPr="00000000" w14:paraId="00000009">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Associated Students of the University of California (ASUC) Constitution commits to advancing “our common interests and concerns as stakeholders in the university, and as members of the civic community”; and,</w:t>
      </w:r>
    </w:p>
    <w:p w:rsidR="00000000" w:rsidDel="00000000" w:rsidP="00000000" w:rsidRDefault="00000000" w:rsidRPr="00000000" w14:paraId="0000000A">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University of California is committed to “environmental sustainability, social responsibility and prudent governance at every level of the university's 10 campuses, five medical centers, three national laboratories, and agricultural and natural resources centers”</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0B">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UC Office of the Chief Investment Officer of the Regents has identified human rights as a core Environmental, Social, and Governance (ESG) value, stating that businesses whose profits derive from “direct harm to public safety” or “the unlawful deprivation of human dignity” undermine universally approved United Nations principles and threaten the conditions necessary for a well-functioning society</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0C">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with Senate Resolution SR 2024/2025-003</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 SR 2025-2026 043</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the ASUC has previously passed resolutions calling for divestment from companies implicated in documented human rights violations, establishing a sustained pattern of student governance engagement on this issue; and, </w:t>
      </w:r>
    </w:p>
    <w:p w:rsidR="00000000" w:rsidDel="00000000" w:rsidP="00000000" w:rsidRDefault="00000000" w:rsidRPr="00000000" w14:paraId="0000000D">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UC Berkeley Foundation has committed to “prioritiz[ing] support of businesses and investments that operate within the law, are ethical in their pursuits and operations, treat people fairly, and do not cause substantial social injury”</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0E">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Berkeley Endowment Management Company, which manages the “day-to-day oversight” of the UCBF’s investments, “incorporates environmental sustainability, social responsibility, and governance (ESG) factors into the investment evaluation and monitoring process as part of investment decision making</w:t>
      </w:r>
      <w:r w:rsidDel="00000000" w:rsidR="00000000" w:rsidRPr="00000000">
        <w:rPr>
          <w:rFonts w:ascii="Times New Roman" w:cs="Times New Roman" w:eastAsia="Times New Roman" w:hAnsi="Times New Roman"/>
          <w:rtl w:val="0"/>
        </w:rPr>
        <w:t xml:space="preserve">”</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0F">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Divestment Evaluation Task Force created in the wake of the Free Palestine Encampment of 2024 noted that the UCBF has indirect holdings in 23 arms manufacturing companies</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0">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ASUC has previously demonstrated that formal student advocacy mechanisms produce material institutional outcomes: following a 2013 ASUC student referendum, the UC system fully divested from fossil fuel companies by 2020;</w:t>
      </w:r>
      <w:r w:rsidDel="00000000" w:rsidR="00000000" w:rsidRPr="00000000">
        <w:rPr>
          <w:rFonts w:ascii="Cambria" w:cs="Cambria" w:eastAsia="Cambria" w:hAnsi="Cambria"/>
          <w:sz w:val="24"/>
          <w:szCs w:val="24"/>
          <w:vertAlign w:val="superscript"/>
        </w:rPr>
        <w:footnoteReference w:customMarkFollows="0" w:id="7"/>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1">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 Spring 2026, the ASUC Senate passed Senate Resolution No. 2025/2026-082, placing a ballot proposition before the student body calling for the UC Berkeley Foundation to disclose and divest all material holdings in companies producing mass surveillance and military weapons technology</w:t>
      </w:r>
      <w:r w:rsidDel="00000000" w:rsidR="00000000" w:rsidRPr="00000000">
        <w:rPr>
          <w:rFonts w:ascii="Cambria" w:cs="Cambria" w:eastAsia="Cambria" w:hAnsi="Cambria"/>
          <w:sz w:val="24"/>
          <w:szCs w:val="24"/>
          <w:vertAlign w:val="superscript"/>
        </w:rPr>
        <w:footnoteReference w:customMarkFollows="0" w:id="8"/>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2">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 the 2026–2027 ASUC General Election, 89.85%</w:t>
      </w:r>
      <w:r w:rsidDel="00000000" w:rsidR="00000000" w:rsidRPr="00000000">
        <w:rPr>
          <w:rFonts w:ascii="Cambria" w:cs="Cambria" w:eastAsia="Cambria" w:hAnsi="Cambria"/>
          <w:sz w:val="24"/>
          <w:szCs w:val="24"/>
          <w:vertAlign w:val="superscript"/>
        </w:rPr>
        <w:footnoteReference w:customMarkFollows="0" w:id="9"/>
      </w:r>
      <w:r w:rsidDel="00000000" w:rsidR="00000000" w:rsidRPr="00000000">
        <w:rPr>
          <w:rFonts w:ascii="Cambria" w:cs="Cambria" w:eastAsia="Cambria" w:hAnsi="Cambria"/>
          <w:sz w:val="24"/>
          <w:szCs w:val="24"/>
          <w:rtl w:val="0"/>
        </w:rPr>
        <w:t xml:space="preserve"> of voting students approved Proposition 26D, the Divestment Advisory Proposition, reflecting an overwhelming student mandate for divestment and independently satisfying the Foundation’s own criterion that concern be broadly and consistently held within the campus community; and,</w:t>
      </w:r>
    </w:p>
    <w:p w:rsidR="00000000" w:rsidDel="00000000" w:rsidP="00000000" w:rsidRDefault="00000000" w:rsidRPr="00000000" w14:paraId="00000013">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pursuant to Senate Resolution No. 2025/2026-082, the ASUC President and Executive Vice President communicated the results of this vote to the Chancellor’s Chief of Staff, Rosemary Kim,  and urged her to present these findings in favor of divestment to the Foundation; and, </w:t>
      </w:r>
    </w:p>
    <w:p w:rsidR="00000000" w:rsidDel="00000000" w:rsidP="00000000" w:rsidRDefault="00000000" w:rsidRPr="00000000" w14:paraId="00000014">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ASUC President and Executive Vice President reported that they were denied a public meeting with the UC Berkeley Foundation Board of Trustees to discuss divestment and were told that the Foundation had “zero influence” in the Berkeley Endowment Management Company’s investment decisions</w:t>
      </w:r>
      <w:r w:rsidDel="00000000" w:rsidR="00000000" w:rsidRPr="00000000">
        <w:rPr>
          <w:rFonts w:ascii="Cambria" w:cs="Cambria" w:eastAsia="Cambria" w:hAnsi="Cambria"/>
          <w:sz w:val="24"/>
          <w:szCs w:val="24"/>
          <w:vertAlign w:val="superscript"/>
        </w:rPr>
        <w:footnoteReference w:customMarkFollows="0" w:id="10"/>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5">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campus spokesperson Dan Mogulof contradicted this statement, noting that the Foundation “most certainly” has influence on investment policy</w:t>
      </w:r>
      <w:r w:rsidDel="00000000" w:rsidR="00000000" w:rsidRPr="00000000">
        <w:rPr>
          <w:rFonts w:ascii="Cambria" w:cs="Cambria" w:eastAsia="Cambria" w:hAnsi="Cambria"/>
          <w:sz w:val="24"/>
          <w:szCs w:val="24"/>
          <w:vertAlign w:val="superscript"/>
        </w:rPr>
        <w:footnoteReference w:customMarkFollows="0" w:id="11"/>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6">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Foundation’s refusal to engage publicly with elected student representatives in the wake of a 89.85% student vote constitutes a failure to uphold the transparency and accountability obligations codified in its own ESG guidelines; and,</w:t>
      </w:r>
    </w:p>
    <w:p w:rsidR="00000000" w:rsidDel="00000000" w:rsidP="00000000" w:rsidRDefault="00000000" w:rsidRPr="00000000" w14:paraId="00000017">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establishment of a temporary Ad-Hoc Committee, provides a formal body with institutional standing, access to ASUC governance infrastructure, and continuity across Senate sessions necessary to sustain this advocacy effectively; and,</w:t>
      </w:r>
    </w:p>
    <w:p w:rsidR="00000000" w:rsidDel="00000000" w:rsidP="00000000" w:rsidRDefault="00000000" w:rsidRPr="00000000" w14:paraId="00000018">
      <w:pPr>
        <w:spacing w:after="240" w:before="240" w:lineRule="auto"/>
        <w:jc w:val="left"/>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establishment of the Divestment Ad-Hoc Committee would provide a centralized ASUC body to advance the mandate of Proposition 26D and sustain coordinated pressure on the UC Berkeley Foundation toward material divestment outcomes; and, . </w:t>
      </w:r>
    </w:p>
    <w:p w:rsidR="00000000" w:rsidDel="00000000" w:rsidP="00000000" w:rsidRDefault="00000000" w:rsidRPr="00000000" w14:paraId="00000019">
      <w:pPr>
        <w:spacing w:after="240" w:befor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creating this committee would ensure that the ASUC fulfills its responsibility to respond to the proven will of the student body while maintaining transparency, accountability, and student engagement; and,</w:t>
      </w:r>
      <w:r w:rsidDel="00000000" w:rsidR="00000000" w:rsidRPr="00000000">
        <w:rPr>
          <w:rtl w:val="0"/>
        </w:rPr>
      </w:r>
    </w:p>
    <w:p w:rsidR="00000000" w:rsidDel="00000000" w:rsidP="00000000" w:rsidRDefault="00000000" w:rsidRPr="00000000" w14:paraId="0000001A">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that the Associated Students of the University of California hereby establishes the Divestment Ad-Hoc Committee pursuant to ASUCBL 3401 for the duration of the 2026–2027 Senate term; and,</w:t>
      </w:r>
    </w:p>
    <w:p w:rsidR="00000000" w:rsidDel="00000000" w:rsidP="00000000" w:rsidRDefault="00000000" w:rsidRPr="00000000" w14:paraId="0000001B">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purpose of this committee shall be to:</w:t>
      </w:r>
    </w:p>
    <w:p w:rsidR="00000000" w:rsidDel="00000000" w:rsidP="00000000" w:rsidRDefault="00000000" w:rsidRPr="00000000" w14:paraId="0000001C">
      <w:pPr>
        <w:numPr>
          <w:ilvl w:val="0"/>
          <w:numId w:val="2"/>
        </w:numPr>
        <w:spacing w:after="0" w:befor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Advocate for divestment from companies producing mass surveillance and military weapons technology in alignment with the mandate of Proposition 26D;</w:t>
      </w:r>
    </w:p>
    <w:p w:rsidR="00000000" w:rsidDel="00000000" w:rsidP="00000000" w:rsidRDefault="00000000" w:rsidRPr="00000000" w14:paraId="0000001D">
      <w:pPr>
        <w:numPr>
          <w:ilvl w:val="0"/>
          <w:numId w:val="2"/>
        </w:numPr>
        <w:spacing w:after="0" w:before="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Monitor and report to the ASUC Senate on relevant developments related to university investment policies and Foundation holdings;</w:t>
      </w:r>
    </w:p>
    <w:p w:rsidR="00000000" w:rsidDel="00000000" w:rsidP="00000000" w:rsidRDefault="00000000" w:rsidRPr="00000000" w14:paraId="0000001E">
      <w:pPr>
        <w:numPr>
          <w:ilvl w:val="0"/>
          <w:numId w:val="2"/>
        </w:numPr>
        <w:spacing w:after="0" w:before="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Facilitate communication between students, student organizations, ASUC officials, and university administrators regarding divestment-related matters;</w:t>
      </w:r>
    </w:p>
    <w:p w:rsidR="00000000" w:rsidDel="00000000" w:rsidP="00000000" w:rsidRDefault="00000000" w:rsidRPr="00000000" w14:paraId="0000001F">
      <w:pPr>
        <w:numPr>
          <w:ilvl w:val="0"/>
          <w:numId w:val="2"/>
        </w:numPr>
        <w:spacing w:after="240" w:before="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Conduct outreach and engagement to increase student awareness and participation; and,</w:t>
      </w:r>
    </w:p>
    <w:p w:rsidR="00000000" w:rsidDel="00000000" w:rsidP="00000000" w:rsidRDefault="00000000" w:rsidRPr="00000000" w14:paraId="00000020">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w:t>
      </w:r>
      <w:r w:rsidDel="00000000" w:rsidR="00000000" w:rsidRPr="00000000">
        <w:rPr>
          <w:rFonts w:ascii="Roboto" w:cs="Roboto" w:eastAsia="Roboto" w:hAnsi="Roboto"/>
          <w:sz w:val="24"/>
          <w:szCs w:val="24"/>
          <w:rtl w:val="0"/>
        </w:rPr>
        <w:t xml:space="preserve"> </w:t>
      </w:r>
      <w:r w:rsidDel="00000000" w:rsidR="00000000" w:rsidRPr="00000000">
        <w:rPr>
          <w:rFonts w:ascii="Cambria" w:cs="Cambria" w:eastAsia="Cambria" w:hAnsi="Cambria"/>
          <w:b w:val="1"/>
          <w:bCs w:val="1"/>
          <w:sz w:val="24"/>
          <w:szCs w:val="24"/>
          <w:rtl w:val="0"/>
        </w:rPr>
        <w:t xml:space="preserve">BE IT FURTHER RESOLVED,</w:t>
      </w:r>
      <w:r w:rsidDel="00000000" w:rsidR="00000000" w:rsidRPr="00000000">
        <w:rPr>
          <w:rFonts w:ascii="Cambria" w:cs="Cambria" w:eastAsia="Cambria" w:hAnsi="Cambria"/>
          <w:sz w:val="24"/>
          <w:szCs w:val="24"/>
          <w:rtl w:val="0"/>
        </w:rPr>
        <w:t xml:space="preserve"> that the ASUC commits to coordinating with the Chair of the Divestment Ad-Hoc Committee on any resolution, bill, or public stance that explicitly or implicitly implicates the Foundation's investment holdings or divestment obligations; and,</w:t>
      </w:r>
    </w:p>
    <w:p w:rsidR="00000000" w:rsidDel="00000000" w:rsidP="00000000" w:rsidRDefault="00000000" w:rsidRPr="00000000" w14:paraId="00000021">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committee shall be authorized to present updates and recommendations to the ASUC Senate during regular Senate meetings when recognized by the Chair; and,</w:t>
      </w:r>
    </w:p>
    <w:p w:rsidR="00000000" w:rsidDel="00000000" w:rsidP="00000000" w:rsidRDefault="00000000" w:rsidRPr="00000000" w14:paraId="00000022">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as an ASUC committee, the Divestment Ad-Hoc Committee will be subject to institutional support from the ASUC including but not limited to:</w:t>
      </w:r>
    </w:p>
    <w:p w:rsidR="00000000" w:rsidDel="00000000" w:rsidP="00000000" w:rsidRDefault="00000000" w:rsidRPr="00000000" w14:paraId="00000023">
      <w:pPr>
        <w:numPr>
          <w:ilvl w:val="0"/>
          <w:numId w:val="1"/>
        </w:numPr>
        <w:spacing w:after="0" w:befor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ASUC.org email access;</w:t>
      </w:r>
    </w:p>
    <w:p w:rsidR="00000000" w:rsidDel="00000000" w:rsidP="00000000" w:rsidRDefault="00000000" w:rsidRPr="00000000" w14:paraId="00000024">
      <w:pPr>
        <w:numPr>
          <w:ilvl w:val="0"/>
          <w:numId w:val="1"/>
        </w:numPr>
        <w:spacing w:after="240" w:before="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Access to ASUC meeting rooms, funding portals, and training infrastructure;</w:t>
      </w:r>
    </w:p>
    <w:p w:rsidR="00000000" w:rsidDel="00000000" w:rsidP="00000000" w:rsidRDefault="00000000" w:rsidRPr="00000000" w14:paraId="00000025">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recognizes this committee shall expire at the conclusion of the 2026–2027 Senate session unless renewed by approval of the Units Governance Committee pursuant to ASUC BL 3401</w:t>
      </w:r>
      <w:r w:rsidDel="00000000" w:rsidR="00000000" w:rsidRPr="00000000">
        <w:rPr>
          <w:rFonts w:ascii="Cambria" w:cs="Cambria" w:eastAsia="Cambria" w:hAnsi="Cambria"/>
          <w:sz w:val="24"/>
          <w:szCs w:val="24"/>
          <w:vertAlign w:val="superscript"/>
        </w:rPr>
        <w:footnoteReference w:customMarkFollows="0" w:id="12"/>
      </w:r>
      <w:r w:rsidDel="00000000" w:rsidR="00000000" w:rsidRPr="00000000">
        <w:rPr>
          <w:rFonts w:ascii="Cambria" w:cs="Cambria" w:eastAsia="Cambria" w:hAnsi="Cambria"/>
          <w:sz w:val="24"/>
          <w:szCs w:val="24"/>
          <w:rtl w:val="0"/>
        </w:rPr>
        <w:t xml:space="preserve"> and ASUCBL 3441</w:t>
      </w:r>
      <w:r w:rsidDel="00000000" w:rsidR="00000000" w:rsidRPr="00000000">
        <w:rPr>
          <w:rFonts w:ascii="Cambria" w:cs="Cambria" w:eastAsia="Cambria" w:hAnsi="Cambria"/>
          <w:sz w:val="24"/>
          <w:szCs w:val="24"/>
          <w:vertAlign w:val="superscript"/>
        </w:rPr>
        <w:footnoteReference w:customMarkFollows="0" w:id="13"/>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26">
      <w:pPr>
        <w:spacing w:after="240" w:before="240" w:lineRule="auto"/>
        <w:rPr>
          <w:b w:val="1"/>
          <w:bCs w:val="1"/>
          <w:sz w:val="28"/>
          <w:szCs w:val="28"/>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ASUC reaffirms its commitment to pursuing material mass surveillance and military weapons technology divestment outcomes on behalf of the student body, consistent with the mandate delivered by 89.95% of voting students in the Spring 2026 ASUC General Elections.</w:t>
      </w:r>
      <w:r w:rsidDel="00000000" w:rsidR="00000000" w:rsidRPr="00000000">
        <w:rPr>
          <w:rtl w:val="0"/>
        </w:rPr>
      </w:r>
    </w:p>
    <w:p w:rsidR="00000000" w:rsidDel="00000000" w:rsidP="00000000" w:rsidRDefault="00000000" w:rsidRPr="00000000" w14:paraId="00000027">
      <w:pPr>
        <w:rPr>
          <w:rFonts w:ascii="Cambria" w:cs="Cambria" w:eastAsia="Cambria" w:hAnsi="Cambria"/>
        </w:rPr>
      </w:pPr>
      <w:r w:rsidDel="00000000" w:rsidR="00000000" w:rsidRPr="00000000">
        <w:rPr>
          <w:rtl w:val="0"/>
        </w:rPr>
      </w:r>
    </w:p>
    <w:sectPr>
      <w:headerReference r:id="rId9" w:type="default"/>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widowControl w:val="0"/>
      <w:tabs>
        <w:tab w:val="center" w:leader="none" w:pos="5760"/>
        <w:tab w:val="right" w:leader="none" w:pos="8640"/>
      </w:tabs>
      <w:spacing w:line="240" w:lineRule="auto"/>
      <w:jc w:val="left"/>
      <w:rPr>
        <w:rFonts w:ascii="Cambria" w:cs="Cambria" w:eastAsia="Cambria" w:hAnsi="Cambria"/>
        <w:sz w:val="18"/>
        <w:szCs w:val="18"/>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2">
    <w:p w:rsidR="00000000" w:rsidDel="00000000" w:rsidP="00000000" w:rsidRDefault="00000000" w:rsidRPr="00000000" w14:paraId="00000028">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
        <w:r w:rsidDel="00000000" w:rsidR="00000000" w:rsidRPr="00000000">
          <w:rPr>
            <w:rFonts w:ascii="Cambria" w:cs="Cambria" w:eastAsia="Cambria" w:hAnsi="Cambria"/>
            <w:color w:val="0000ee"/>
            <w:sz w:val="20"/>
            <w:szCs w:val="20"/>
            <w:u w:val="single"/>
            <w:rtl w:val="0"/>
          </w:rPr>
          <w:t xml:space="preserve">3401 General Committees</w:t>
        </w:r>
      </w:hyperlink>
      <w:r w:rsidDel="00000000" w:rsidR="00000000" w:rsidRPr="00000000">
        <w:rPr>
          <w:rtl w:val="0"/>
        </w:rPr>
      </w:r>
    </w:p>
    <w:p w:rsidR="00000000" w:rsidDel="00000000" w:rsidP="00000000" w:rsidRDefault="00000000" w:rsidRPr="00000000" w14:paraId="00000029">
      <w:pPr>
        <w:spacing w:line="240" w:lineRule="auto"/>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11</w:t>
      </w:r>
      <w:hyperlink r:id="rId2">
        <w:r w:rsidDel="00000000" w:rsidR="00000000" w:rsidRPr="00000000">
          <w:rPr>
            <w:rFonts w:ascii="Cambria" w:cs="Cambria" w:eastAsia="Cambria" w:hAnsi="Cambria"/>
            <w:color w:val="1155cc"/>
            <w:sz w:val="20"/>
            <w:szCs w:val="20"/>
            <w:u w:val="single"/>
            <w:rtl w:val="0"/>
          </w:rPr>
          <w:t xml:space="preserve">SR 22/23-078 Establishing the MEMSSA Temporary Ad-Hoc Committee</w:t>
        </w:r>
      </w:hyperlink>
      <w:r w:rsidDel="00000000" w:rsidR="00000000" w:rsidRPr="00000000">
        <w:rPr>
          <w:rtl w:val="0"/>
        </w:rPr>
      </w:r>
    </w:p>
  </w:footnote>
  <w:footnote w:id="0">
    <w:p w:rsidR="00000000" w:rsidDel="00000000" w:rsidP="00000000" w:rsidRDefault="00000000" w:rsidRPr="00000000" w14:paraId="0000002A">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3">
        <w:r w:rsidDel="00000000" w:rsidR="00000000" w:rsidRPr="00000000">
          <w:rPr>
            <w:rFonts w:ascii="Cambria" w:cs="Cambria" w:eastAsia="Cambria" w:hAnsi="Cambria"/>
            <w:color w:val="1155cc"/>
            <w:sz w:val="20"/>
            <w:szCs w:val="20"/>
            <w:u w:val="single"/>
            <w:rtl w:val="0"/>
          </w:rPr>
          <w:t xml:space="preserve">Sustainable Investment</w:t>
        </w:r>
      </w:hyperlink>
      <w:r w:rsidDel="00000000" w:rsidR="00000000" w:rsidRPr="00000000">
        <w:rPr>
          <w:rFonts w:ascii="Cambria" w:cs="Cambria" w:eastAsia="Cambria" w:hAnsi="Cambria"/>
          <w:sz w:val="20"/>
          <w:szCs w:val="20"/>
          <w:rtl w:val="0"/>
        </w:rPr>
        <w:t xml:space="preserve"> </w:t>
      </w:r>
      <w:r w:rsidDel="00000000" w:rsidR="00000000" w:rsidRPr="00000000">
        <w:rPr>
          <w:rtl w:val="0"/>
        </w:rPr>
      </w:r>
    </w:p>
  </w:footnote>
  <w:footnote w:id="8">
    <w:p w:rsidR="00000000" w:rsidDel="00000000" w:rsidP="00000000" w:rsidRDefault="00000000" w:rsidRPr="00000000" w14:paraId="0000002B">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4">
        <w:r w:rsidDel="00000000" w:rsidR="00000000" w:rsidRPr="00000000">
          <w:rPr>
            <w:rFonts w:ascii="Cambria" w:cs="Cambria" w:eastAsia="Cambria" w:hAnsi="Cambria"/>
            <w:color w:val="0000ee"/>
            <w:sz w:val="20"/>
            <w:szCs w:val="20"/>
            <w:u w:val="single"/>
            <w:rtl w:val="0"/>
          </w:rPr>
          <w:t xml:space="preserve">SR 25/26-082: In Support of a Student Vote for University-Wide Divestment From Companies Producing Military Technology in the 2026 ASUC Elections</w:t>
        </w:r>
      </w:hyperlink>
      <w:r w:rsidDel="00000000" w:rsidR="00000000" w:rsidRPr="00000000">
        <w:rPr>
          <w:rtl w:val="0"/>
        </w:rPr>
      </w:r>
    </w:p>
  </w:footnote>
  <w:footnote w:id="1">
    <w:p w:rsidR="00000000" w:rsidDel="00000000" w:rsidP="00000000" w:rsidRDefault="00000000" w:rsidRPr="00000000" w14:paraId="0000002C">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5">
        <w:r w:rsidDel="00000000" w:rsidR="00000000" w:rsidRPr="00000000">
          <w:rPr>
            <w:rFonts w:ascii="Cambria" w:cs="Cambria" w:eastAsia="Cambria" w:hAnsi="Cambria"/>
            <w:color w:val="1155cc"/>
            <w:sz w:val="20"/>
            <w:szCs w:val="20"/>
            <w:u w:val="single"/>
            <w:rtl w:val="0"/>
          </w:rPr>
          <w:t xml:space="preserve">Sustainable Investment</w:t>
        </w:r>
      </w:hyperlink>
      <w:r w:rsidDel="00000000" w:rsidR="00000000" w:rsidRPr="00000000">
        <w:rPr>
          <w:rFonts w:ascii="Cambria" w:cs="Cambria" w:eastAsia="Cambria" w:hAnsi="Cambria"/>
          <w:sz w:val="20"/>
          <w:szCs w:val="20"/>
          <w:rtl w:val="0"/>
        </w:rPr>
        <w:t xml:space="preserve"> </w:t>
      </w:r>
      <w:r w:rsidDel="00000000" w:rsidR="00000000" w:rsidRPr="00000000">
        <w:rPr>
          <w:rtl w:val="0"/>
        </w:rPr>
      </w:r>
    </w:p>
  </w:footnote>
  <w:footnote w:id="9">
    <w:p w:rsidR="00000000" w:rsidDel="00000000" w:rsidP="00000000" w:rsidRDefault="00000000" w:rsidRPr="00000000" w14:paraId="0000002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mbria" w:cs="Cambria" w:eastAsia="Cambria" w:hAnsi="Cambria"/>
          <w:sz w:val="20"/>
          <w:szCs w:val="20"/>
          <w:vertAlign w:val="superscript"/>
          <w:rtl w:val="0"/>
        </w:rPr>
        <w:t xml:space="preserve"> </w:t>
      </w:r>
      <w:hyperlink r:id="rId6">
        <w:r w:rsidDel="00000000" w:rsidR="00000000" w:rsidRPr="00000000">
          <w:rPr>
            <w:rFonts w:ascii="Cambria" w:cs="Cambria" w:eastAsia="Cambria" w:hAnsi="Cambria"/>
            <w:color w:val="1155cc"/>
            <w:sz w:val="20"/>
            <w:szCs w:val="20"/>
            <w:u w:val="single"/>
            <w:rtl w:val="0"/>
          </w:rPr>
          <w:t xml:space="preserve">[PUBLIC] 2026 ASUC Elections Tabulator Breakdown</w:t>
        </w:r>
      </w:hyperlink>
      <w:r w:rsidDel="00000000" w:rsidR="00000000" w:rsidRPr="00000000">
        <w:rPr>
          <w:rtl w:val="0"/>
        </w:rPr>
      </w:r>
    </w:p>
  </w:footnote>
  <w:footnote w:id="4">
    <w:p w:rsidR="00000000" w:rsidDel="00000000" w:rsidP="00000000" w:rsidRDefault="00000000" w:rsidRPr="00000000" w14:paraId="0000002E">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rFonts w:ascii="Cambria" w:cs="Cambria" w:eastAsia="Cambria" w:hAnsi="Cambria"/>
            <w:color w:val="1155cc"/>
            <w:sz w:val="20"/>
            <w:szCs w:val="20"/>
            <w:u w:val="single"/>
            <w:rtl w:val="0"/>
          </w:rPr>
          <w:t xml:space="preserve">UC Berkeley Foundation ESG Principles</w:t>
        </w:r>
      </w:hyperlink>
      <w:r w:rsidDel="00000000" w:rsidR="00000000" w:rsidRPr="00000000">
        <w:rPr>
          <w:rtl w:val="0"/>
        </w:rPr>
      </w:r>
    </w:p>
  </w:footnote>
  <w:footnote w:id="5">
    <w:p w:rsidR="00000000" w:rsidDel="00000000" w:rsidP="00000000" w:rsidRDefault="00000000" w:rsidRPr="00000000" w14:paraId="0000002F">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rFonts w:ascii="Cambria" w:cs="Cambria" w:eastAsia="Cambria" w:hAnsi="Cambria"/>
            <w:color w:val="1155cc"/>
            <w:sz w:val="20"/>
            <w:szCs w:val="20"/>
            <w:u w:val="single"/>
            <w:rtl w:val="0"/>
          </w:rPr>
          <w:t xml:space="preserve">UC Berkeley Foundation Investment Policy Statement</w:t>
        </w:r>
      </w:hyperlink>
      <w:r w:rsidDel="00000000" w:rsidR="00000000" w:rsidRPr="00000000">
        <w:rPr>
          <w:rtl w:val="0"/>
        </w:rPr>
      </w:r>
    </w:p>
  </w:footnote>
  <w:footnote w:id="6">
    <w:p w:rsidR="00000000" w:rsidDel="00000000" w:rsidP="00000000" w:rsidRDefault="00000000" w:rsidRPr="00000000" w14:paraId="00000030">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rFonts w:ascii="Cambria" w:cs="Cambria" w:eastAsia="Cambria" w:hAnsi="Cambria"/>
            <w:color w:val="1155cc"/>
            <w:sz w:val="20"/>
            <w:szCs w:val="20"/>
            <w:u w:val="single"/>
            <w:rtl w:val="0"/>
          </w:rPr>
          <w:t xml:space="preserve">“UC Berkeley Foundation task force opts not to recommend divestment of weapons manufacturing holdings”</w:t>
        </w:r>
      </w:hyperlink>
      <w:r w:rsidDel="00000000" w:rsidR="00000000" w:rsidRPr="00000000">
        <w:rPr>
          <w:rtl w:val="0"/>
        </w:rPr>
      </w:r>
    </w:p>
  </w:footnote>
  <w:footnote w:id="2">
    <w:p w:rsidR="00000000" w:rsidDel="00000000" w:rsidP="00000000" w:rsidRDefault="00000000" w:rsidRPr="00000000" w14:paraId="00000031">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0">
        <w:r w:rsidDel="00000000" w:rsidR="00000000" w:rsidRPr="00000000">
          <w:rPr>
            <w:rFonts w:ascii="Cambria" w:cs="Cambria" w:eastAsia="Cambria" w:hAnsi="Cambria"/>
            <w:color w:val="0000ee"/>
            <w:sz w:val="20"/>
            <w:szCs w:val="20"/>
            <w:u w:val="single"/>
            <w:rtl w:val="0"/>
          </w:rPr>
          <w:t xml:space="preserve">SR 24/25-003 Supporting ASUC's Divestment from Weapons Manufacturers and Corporations Violating BDS</w:t>
        </w:r>
      </w:hyperlink>
      <w:r w:rsidDel="00000000" w:rsidR="00000000" w:rsidRPr="00000000">
        <w:rPr>
          <w:rtl w:val="0"/>
        </w:rPr>
      </w:r>
    </w:p>
  </w:footnote>
  <w:footnote w:id="10">
    <w:p w:rsidR="00000000" w:rsidDel="00000000" w:rsidP="00000000" w:rsidRDefault="00000000" w:rsidRPr="00000000" w14:paraId="00000032">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rFonts w:ascii="Cambria" w:cs="Cambria" w:eastAsia="Cambria" w:hAnsi="Cambria"/>
            <w:color w:val="1155cc"/>
            <w:sz w:val="20"/>
            <w:szCs w:val="20"/>
            <w:u w:val="single"/>
            <w:rtl w:val="0"/>
          </w:rPr>
          <w:t xml:space="preserve">“After being denied weapons manufacturing divestment meeting with UC Berkeley Foundation, ASUC officials emphasize continued pressure”</w:t>
        </w:r>
      </w:hyperlink>
      <w:r w:rsidDel="00000000" w:rsidR="00000000" w:rsidRPr="00000000">
        <w:rPr>
          <w:rtl w:val="0"/>
        </w:rPr>
      </w:r>
    </w:p>
  </w:footnote>
  <w:footnote w:id="13">
    <w:p w:rsidR="00000000" w:rsidDel="00000000" w:rsidP="00000000" w:rsidRDefault="00000000" w:rsidRPr="00000000" w14:paraId="00000033">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2">
        <w:r w:rsidDel="00000000" w:rsidR="00000000" w:rsidRPr="00000000">
          <w:rPr>
            <w:rFonts w:ascii="Cambria" w:cs="Cambria" w:eastAsia="Cambria" w:hAnsi="Cambria"/>
            <w:color w:val="0000ee"/>
            <w:sz w:val="20"/>
            <w:szCs w:val="20"/>
            <w:u w:val="single"/>
            <w:rtl w:val="0"/>
          </w:rPr>
          <w:t xml:space="preserve">3441 Units Governance Committee</w:t>
        </w:r>
      </w:hyperlink>
      <w:r w:rsidDel="00000000" w:rsidR="00000000" w:rsidRPr="00000000">
        <w:rPr>
          <w:rtl w:val="0"/>
        </w:rPr>
      </w:r>
    </w:p>
  </w:footnote>
  <w:footnote w:id="3">
    <w:p w:rsidR="00000000" w:rsidDel="00000000" w:rsidP="00000000" w:rsidRDefault="00000000" w:rsidRPr="00000000" w14:paraId="00000034">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3">
        <w:r w:rsidDel="00000000" w:rsidR="00000000" w:rsidRPr="00000000">
          <w:rPr>
            <w:rFonts w:ascii="Cambria" w:cs="Cambria" w:eastAsia="Cambria" w:hAnsi="Cambria"/>
            <w:color w:val="1155cc"/>
            <w:sz w:val="20"/>
            <w:szCs w:val="20"/>
            <w:u w:val="single"/>
            <w:rtl w:val="0"/>
          </w:rPr>
          <w:t xml:space="preserve">SR 25/25-043 Recognition of Genocide in Sudan </w:t>
        </w:r>
      </w:hyperlink>
      <w:r w:rsidDel="00000000" w:rsidR="00000000" w:rsidRPr="00000000">
        <w:rPr>
          <w:rtl w:val="0"/>
        </w:rPr>
      </w:r>
    </w:p>
  </w:footnote>
  <w:footnote w:id="7">
    <w:p w:rsidR="00000000" w:rsidDel="00000000" w:rsidP="00000000" w:rsidRDefault="00000000" w:rsidRPr="00000000" w14:paraId="00000035">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4">
        <w:r w:rsidDel="00000000" w:rsidR="00000000" w:rsidRPr="00000000">
          <w:rPr>
            <w:rFonts w:ascii="Cambria" w:cs="Cambria" w:eastAsia="Cambria" w:hAnsi="Cambria"/>
            <w:color w:val="1155cc"/>
            <w:sz w:val="20"/>
            <w:szCs w:val="20"/>
            <w:u w:val="single"/>
            <w:rtl w:val="0"/>
          </w:rPr>
          <w:t xml:space="preserve">UC fully divests from fossil fuels; largest university to do so - Los Angeles Times</w:t>
        </w:r>
      </w:hyperlink>
      <w:r w:rsidDel="00000000" w:rsidR="00000000" w:rsidRPr="00000000">
        <w:rPr>
          <w:rFonts w:ascii="Cambria" w:cs="Cambria" w:eastAsia="Cambria" w:hAnsi="Cambria"/>
          <w:sz w:val="20"/>
          <w:szCs w:val="20"/>
          <w:rtl w:val="0"/>
        </w:rPr>
        <w:t xml:space="preserve"> </w:t>
      </w:r>
    </w:p>
  </w:footnote>
  <w:footnote w:id="11">
    <w:p w:rsidR="00000000" w:rsidDel="00000000" w:rsidP="00000000" w:rsidRDefault="00000000" w:rsidRPr="00000000" w14:paraId="00000036">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sz w:val="20"/>
          <w:szCs w:val="20"/>
          <w:rtl w:val="0"/>
        </w:rPr>
        <w:t xml:space="preserve"> </w:t>
      </w:r>
      <w:hyperlink r:id="rId15">
        <w:r w:rsidDel="00000000" w:rsidR="00000000" w:rsidRPr="00000000">
          <w:rPr>
            <w:rFonts w:ascii="Cambria" w:cs="Cambria" w:eastAsia="Cambria" w:hAnsi="Cambria"/>
            <w:color w:val="1155cc"/>
            <w:sz w:val="20"/>
            <w:szCs w:val="20"/>
            <w:u w:val="single"/>
            <w:rtl w:val="0"/>
          </w:rPr>
          <w:t xml:space="preserve">“After being denied weapons manufacturing divestment meeting with UC Berkeley Foundation, ASUC officials emphasize continued pressure”</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38">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2026/2027-007</w:t>
    </w:r>
  </w:p>
  <w:p w:rsidR="00000000" w:rsidDel="00000000" w:rsidP="00000000" w:rsidRDefault="00000000" w:rsidRPr="00000000" w14:paraId="0000003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0"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notes.xml.rels><?xml version="1.0" encoding="UTF-8" standalone="yes"?><Relationships xmlns="http://schemas.openxmlformats.org/package/2006/relationships"><Relationship Id="rId11" Type="http://schemas.openxmlformats.org/officeDocument/2006/relationships/hyperlink" Target="https://www.dailycal.org/news/campus/asuc/after-being-denied-weapons-manufacturing-divestment-meeting-with-uc-berkeley-foundation-asuc-officials-emphasize-continued/article_a6dd3ae8-7aeb-4bc6-b460-8c7e90278918.html" TargetMode="External"/><Relationship Id="rId10" Type="http://schemas.openxmlformats.org/officeDocument/2006/relationships/hyperlink" Target="https://docs.google.com/document/u/0/d/1EypS8unOWhMmZ95EoHxS-oPJnIbMyEtEU599Qk4894U/edit" TargetMode="External"/><Relationship Id="rId13" Type="http://schemas.openxmlformats.org/officeDocument/2006/relationships/hyperlink" Target="https://docs.google.com/document/d/1v36l6GKDN7IaOVKw4NVR7rLX5Modu6bu/edit" TargetMode="External"/><Relationship Id="rId12" Type="http://schemas.openxmlformats.org/officeDocument/2006/relationships/hyperlink" Target="https://docs.google.com/document/d/1vev1JThKmljrxTO668SSXtqzHyRT3RN0l8F3OXCAMLA/edit?usp=sharing" TargetMode="External"/><Relationship Id="rId1" Type="http://schemas.openxmlformats.org/officeDocument/2006/relationships/hyperlink" Target="https://docs.google.com/document/d/1joJWGczB_KArbykdRXvYf_ZXWpYOKsR7Lu7hgA6aTuY/edit?usp=sharing" TargetMode="External"/><Relationship Id="rId2" Type="http://schemas.openxmlformats.org/officeDocument/2006/relationships/hyperlink" Target="https://docs.google.com/document/d/1ExQ_YP7mwCiIzd4VJtKDafESNWDmkZqh-aqfmBc7mrc/edit?tab=t.0" TargetMode="External"/><Relationship Id="rId3" Type="http://schemas.openxmlformats.org/officeDocument/2006/relationships/hyperlink" Target="https://www.ucop.edu/sustainability/programs-initiatives/sustainable-investment/index.html" TargetMode="External"/><Relationship Id="rId4" Type="http://schemas.openxmlformats.org/officeDocument/2006/relationships/hyperlink" Target="https://docs.google.com/document/d/12ZSc-SHJvR3imedYIw1qf5crR5Fqmk9H3bvM0_J6_T4/edit?usp=sharing" TargetMode="External"/><Relationship Id="rId9" Type="http://schemas.openxmlformats.org/officeDocument/2006/relationships/hyperlink" Target="https://www.dailycal.org/news/campus/uc-berkeley-foundation-task-force-opts-not-to-recommend-divestment-of-weapons-manufacturing-holdings/article_ad7b776a-c0f7-11ef-85e3-7b940695e4c7.html" TargetMode="External"/><Relationship Id="rId15" Type="http://schemas.openxmlformats.org/officeDocument/2006/relationships/hyperlink" Target="https://www.dailycal.org/news/campus/asuc/after-being-denied-weapons-manufacturing-divestment-meeting-with-uc-berkeley-foundation-asuc-officials-emphasize-continued/article_a6dd3ae8-7aeb-4bc6-b460-8c7e90278918.html" TargetMode="External"/><Relationship Id="rId14" Type="http://schemas.openxmlformats.org/officeDocument/2006/relationships/hyperlink" Target="https://www.latimes.com/california/story/2020-05-19/uc-fossil-fuel-divest-climate-change" TargetMode="External"/><Relationship Id="rId5" Type="http://schemas.openxmlformats.org/officeDocument/2006/relationships/hyperlink" Target="https://www.ucop.edu/sustainability/programs-initiatives/sustainable-investment/index.html" TargetMode="External"/><Relationship Id="rId6" Type="http://schemas.openxmlformats.org/officeDocument/2006/relationships/hyperlink" Target="https://docs.google.com/spreadsheets/d/13vGCnREw0Ao5nDuKYT99mw_pD_SsFubOqokl2TIO9i0/edit?gid=114895464#gid=114895464" TargetMode="External"/><Relationship Id="rId7" Type="http://schemas.openxmlformats.org/officeDocument/2006/relationships/hyperlink" Target="https://www.ucberkeleyfoundation.org/wp-content/uploads/Divestment-Guidelines_May-2018_FINAL-1.pdf" TargetMode="External"/><Relationship Id="rId8" Type="http://schemas.openxmlformats.org/officeDocument/2006/relationships/hyperlink" Target="https://www.ucberkeleyfoundation.org/wp-content/uploads/Investment-Policy-State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yO3OW+pcr6vg1uQm0j9ByUUl2w==">CgMxLjA4AHIhMWRNY1VTcUFSS05kWHRwRFJGZFJmNndiYlhfOUZCVHRU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