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2025/2026-124</w:t>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For Greater Electoral Integrity</w:t>
      </w:r>
    </w:p>
    <w:p w:rsidR="00000000" w:rsidDel="00000000" w:rsidP="00000000" w:rsidRDefault="00000000" w:rsidRPr="00000000" w14:paraId="00000004">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Colton Beardsley (ASUC Senator)</w:t>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Fonts w:ascii="Cambria" w:cs="Cambria" w:eastAsia="Cambria" w:hAnsi="Cambria"/>
          <w:rtl w:val="0"/>
        </w:rPr>
        <w:t xml:space="preserve">  </w:t>
      </w:r>
    </w:p>
    <w:p w:rsidR="00000000" w:rsidDel="00000000" w:rsidP="00000000" w:rsidRDefault="00000000" w:rsidRPr="00000000" w14:paraId="00000008">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Shelby Coleman (Chief Personnel Officer)</w:t>
      </w:r>
    </w:p>
    <w:p w:rsidR="00000000" w:rsidDel="00000000" w:rsidP="00000000" w:rsidRDefault="00000000" w:rsidRPr="00000000" w14:paraId="00000009">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ASUCBL 4105 §6.2 was amended to clarify that prior to the preliminary ballot tabulation, knowledge of election results should be restricted to the Elections Council Chair, the Assistant Chair, the Chief Technology Officer, the Chief Legal Officer, and the Chief Personnel Officer, and that results should not be disclosed to any other individual</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0A">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there are currently no formal penalties for unauthorized early disclosure of preliminary election results; and,</w:t>
      </w:r>
    </w:p>
    <w:p w:rsidR="00000000" w:rsidDel="00000000" w:rsidP="00000000" w:rsidRDefault="00000000" w:rsidRPr="00000000" w14:paraId="0000000B">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improper disclosure of results can risk election integrity by undermining institutional authority, breaking credibility, and causing unnecessary confusion; and,</w:t>
      </w:r>
    </w:p>
    <w:p w:rsidR="00000000" w:rsidDel="00000000" w:rsidP="00000000" w:rsidRDefault="00000000" w:rsidRPr="00000000" w14:paraId="0000000C">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it is imperative that election results are not public until it is derived from authoritative sources, as premature disclosure undermines legitimacy and trust of the electoral process; and,</w:t>
      </w:r>
      <w:r w:rsidDel="00000000" w:rsidR="00000000" w:rsidRPr="00000000">
        <w:rPr>
          <w:rtl w:val="0"/>
        </w:rPr>
      </w:r>
    </w:p>
    <w:p w:rsidR="00000000" w:rsidDel="00000000" w:rsidP="00000000" w:rsidRDefault="00000000" w:rsidRPr="00000000" w14:paraId="0000000D">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Chief Personnel Officer, in collaboration with the Chief Legal Officer, shall require all individuals with positions in the ASUC that are granted access to elections results prior to the preliminary ballot tabulation sign an Elections Confidentiality Agreement (ECA) as a condition of such access; and, </w:t>
      </w:r>
    </w:p>
    <w:p w:rsidR="00000000" w:rsidDel="00000000" w:rsidP="00000000" w:rsidRDefault="00000000" w:rsidRPr="00000000" w14:paraId="0000000E">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ECA must include clear provisions barring and penalizing the dissemination and circulation of elections results prior to the release to the public through official sources;and,</w:t>
      </w:r>
    </w:p>
    <w:p w:rsidR="00000000" w:rsidDel="00000000" w:rsidP="00000000" w:rsidRDefault="00000000" w:rsidRPr="00000000" w14:paraId="0000000F">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w:t>
      </w:r>
      <w:r w:rsidDel="00000000" w:rsidR="00000000" w:rsidRPr="00000000">
        <w:rPr>
          <w:rFonts w:ascii="Cambria" w:cs="Cambria" w:eastAsia="Cambria" w:hAnsi="Cambria"/>
          <w:b w:val="1"/>
          <w:bCs w:val="1"/>
          <w:rtl w:val="0"/>
        </w:rPr>
        <w:t xml:space="preserve">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that dissemination and circulation of elections results prior to public notice be defined as: </w:t>
      </w:r>
    </w:p>
    <w:p w:rsidR="00000000" w:rsidDel="00000000" w:rsidP="00000000" w:rsidRDefault="00000000" w:rsidRPr="00000000" w14:paraId="00000010">
      <w:pPr>
        <w:widowControl w:val="0"/>
        <w:numPr>
          <w:ilvl w:val="0"/>
          <w:numId w:val="3"/>
        </w:numPr>
        <w:spacing w:after="0" w:afterAutospacing="0" w:line="24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Explicit communication foreclosing any election results to any individual persons, groups or organizations (i.e., leaking), excluding essential communications only between the </w:t>
      </w:r>
      <w:r w:rsidDel="00000000" w:rsidR="00000000" w:rsidRPr="00000000">
        <w:rPr>
          <w:rFonts w:ascii="Cambria" w:cs="Cambria" w:eastAsia="Cambria" w:hAnsi="Cambria"/>
          <w:rtl w:val="0"/>
        </w:rPr>
        <w:t xml:space="preserve">Elections Council Chair, the Assistant Chair, the Chief Technology Officer, the Chief Legal Officer, and Chief Personnel Officer, wherein:</w:t>
      </w:r>
      <w:r w:rsidDel="00000000" w:rsidR="00000000" w:rsidRPr="00000000">
        <w:rPr>
          <w:rtl w:val="0"/>
        </w:rPr>
      </w:r>
    </w:p>
    <w:p w:rsidR="00000000" w:rsidDel="00000000" w:rsidP="00000000" w:rsidRDefault="00000000" w:rsidRPr="00000000" w14:paraId="00000011">
      <w:pPr>
        <w:widowControl w:val="0"/>
        <w:numPr>
          <w:ilvl w:val="1"/>
          <w:numId w:val="3"/>
        </w:numPr>
        <w:spacing w:after="0" w:afterAutospacing="0" w:line="240"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Communications may be defined as any electronic, written, or verbal imparting or exchanging of information including but not limited to: </w:t>
      </w:r>
    </w:p>
    <w:p w:rsidR="00000000" w:rsidDel="00000000" w:rsidP="00000000" w:rsidRDefault="00000000" w:rsidRPr="00000000" w14:paraId="00000012">
      <w:pPr>
        <w:widowControl w:val="0"/>
        <w:numPr>
          <w:ilvl w:val="2"/>
          <w:numId w:val="3"/>
        </w:numPr>
        <w:spacing w:after="0" w:afterAutospacing="0" w:line="240" w:lineRule="auto"/>
        <w:ind w:left="2160" w:hanging="360"/>
        <w:rPr>
          <w:rFonts w:ascii="Cambria" w:cs="Cambria" w:eastAsia="Cambria" w:hAnsi="Cambria"/>
          <w:u w:val="none"/>
        </w:rPr>
      </w:pPr>
      <w:r w:rsidDel="00000000" w:rsidR="00000000" w:rsidRPr="00000000">
        <w:rPr>
          <w:rFonts w:ascii="Cambria" w:cs="Cambria" w:eastAsia="Cambria" w:hAnsi="Cambria"/>
          <w:rtl w:val="0"/>
        </w:rPr>
        <w:t xml:space="preserve">Electronic dissemination of election results data through public or private messaging and posting (i.e. email, text message, social media posting/direct messages, etc.), also known as “leaking”;</w:t>
      </w:r>
    </w:p>
    <w:p w:rsidR="00000000" w:rsidDel="00000000" w:rsidP="00000000" w:rsidRDefault="00000000" w:rsidRPr="00000000" w14:paraId="00000013">
      <w:pPr>
        <w:widowControl w:val="0"/>
        <w:numPr>
          <w:ilvl w:val="2"/>
          <w:numId w:val="3"/>
        </w:numPr>
        <w:spacing w:after="0" w:afterAutospacing="0" w:line="240" w:lineRule="auto"/>
        <w:ind w:left="2160" w:hanging="360"/>
        <w:rPr>
          <w:rFonts w:ascii="Cambria" w:cs="Cambria" w:eastAsia="Cambria" w:hAnsi="Cambria"/>
          <w:u w:val="none"/>
        </w:rPr>
      </w:pPr>
      <w:r w:rsidDel="00000000" w:rsidR="00000000" w:rsidRPr="00000000">
        <w:rPr>
          <w:rFonts w:ascii="Cambria" w:cs="Cambria" w:eastAsia="Cambria" w:hAnsi="Cambria"/>
          <w:rtl w:val="0"/>
        </w:rPr>
        <w:t xml:space="preserve">Notes, letters and any other written information including results given to any non-approved persons, groups, or organizations prior to public notice;</w:t>
      </w:r>
    </w:p>
    <w:p w:rsidR="00000000" w:rsidDel="00000000" w:rsidP="00000000" w:rsidRDefault="00000000" w:rsidRPr="00000000" w14:paraId="00000014">
      <w:pPr>
        <w:widowControl w:val="0"/>
        <w:numPr>
          <w:ilvl w:val="2"/>
          <w:numId w:val="3"/>
        </w:numPr>
        <w:spacing w:after="0" w:afterAutospacing="0" w:line="240" w:lineRule="auto"/>
        <w:ind w:left="2160" w:hanging="360"/>
        <w:rPr>
          <w:rFonts w:ascii="Cambria" w:cs="Cambria" w:eastAsia="Cambria" w:hAnsi="Cambria"/>
          <w:u w:val="none"/>
        </w:rPr>
      </w:pPr>
      <w:r w:rsidDel="00000000" w:rsidR="00000000" w:rsidRPr="00000000">
        <w:rPr>
          <w:rFonts w:ascii="Cambria" w:cs="Cambria" w:eastAsia="Cambria" w:hAnsi="Cambria"/>
          <w:rtl w:val="0"/>
        </w:rPr>
        <w:t xml:space="preserve">Verbal exchange of election results data through word-of-mouth communication or unofficial public notice; and, </w:t>
      </w:r>
    </w:p>
    <w:p w:rsidR="00000000" w:rsidDel="00000000" w:rsidP="00000000" w:rsidRDefault="00000000" w:rsidRPr="00000000" w14:paraId="00000015">
      <w:pPr>
        <w:widowControl w:val="0"/>
        <w:numPr>
          <w:ilvl w:val="0"/>
          <w:numId w:val="3"/>
        </w:numPr>
        <w:spacing w:after="200" w:line="24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Any non-explicit communications (strong hinting, congratulating or consoling prior to results, etc) strongly alluding to elections results wherein a reasonable person can glean elections results data from; and, </w:t>
      </w:r>
    </w:p>
    <w:p w:rsidR="00000000" w:rsidDel="00000000" w:rsidP="00000000" w:rsidRDefault="00000000" w:rsidRPr="00000000" w14:paraId="00000016">
      <w:pPr>
        <w:widowControl w:val="0"/>
        <w:spacing w:after="200" w:line="240" w:lineRule="auto"/>
        <w:ind w:left="0" w:firstLine="0"/>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violations of the ECA shall be penalized as follows: </w:t>
      </w:r>
    </w:p>
    <w:p w:rsidR="00000000" w:rsidDel="00000000" w:rsidP="00000000" w:rsidRDefault="00000000" w:rsidRPr="00000000" w14:paraId="00000017">
      <w:pPr>
        <w:widowControl w:val="0"/>
        <w:numPr>
          <w:ilvl w:val="0"/>
          <w:numId w:val="2"/>
        </w:numPr>
        <w:spacing w:after="0" w:afterAutospacing="0" w:line="24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Permanent disbarment from one’s ASUC position and immediate revoking of any rights or privileges tied to their position;</w:t>
      </w:r>
    </w:p>
    <w:p w:rsidR="00000000" w:rsidDel="00000000" w:rsidP="00000000" w:rsidRDefault="00000000" w:rsidRPr="00000000" w14:paraId="00000018">
      <w:pPr>
        <w:widowControl w:val="0"/>
        <w:numPr>
          <w:ilvl w:val="0"/>
          <w:numId w:val="2"/>
        </w:numPr>
        <w:spacing w:after="0" w:afterAutospacing="0" w:line="24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Permanent ineligibility to hold any future ASUC appointed position;</w:t>
      </w:r>
    </w:p>
    <w:p w:rsidR="00000000" w:rsidDel="00000000" w:rsidP="00000000" w:rsidRDefault="00000000" w:rsidRPr="00000000" w14:paraId="00000019">
      <w:pPr>
        <w:widowControl w:val="0"/>
        <w:numPr>
          <w:ilvl w:val="0"/>
          <w:numId w:val="2"/>
        </w:numPr>
        <w:spacing w:after="200" w:line="24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C</w:t>
      </w:r>
      <w:r w:rsidDel="00000000" w:rsidR="00000000" w:rsidRPr="00000000">
        <w:rPr>
          <w:rFonts w:ascii="Cambria" w:cs="Cambria" w:eastAsia="Cambria" w:hAnsi="Cambria"/>
          <w:rtl w:val="0"/>
        </w:rPr>
        <w:t xml:space="preserve">omplete forfeiture of any undispersed stipend associated with the individual’s current position, if applicable; and,</w:t>
      </w:r>
      <w:r w:rsidDel="00000000" w:rsidR="00000000" w:rsidRPr="00000000">
        <w:rPr>
          <w:rtl w:val="0"/>
        </w:rPr>
      </w:r>
    </w:p>
    <w:p w:rsidR="00000000" w:rsidDel="00000000" w:rsidP="00000000" w:rsidRDefault="00000000" w:rsidRPr="00000000" w14:paraId="0000001A">
      <w:pPr>
        <w:widowControl w:val="0"/>
        <w:spacing w:after="20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a formal procedure for handling and investigating suspected violations to the ECA shall be conducted by the Judicial Council, wherein: </w:t>
      </w:r>
    </w:p>
    <w:p w:rsidR="00000000" w:rsidDel="00000000" w:rsidP="00000000" w:rsidRDefault="00000000" w:rsidRPr="00000000" w14:paraId="0000001B">
      <w:pPr>
        <w:widowControl w:val="0"/>
        <w:numPr>
          <w:ilvl w:val="0"/>
          <w:numId w:val="1"/>
        </w:numPr>
        <w:spacing w:after="0" w:afterAutospacing="0" w:line="24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Cases of suspected violations may be reported and brought before the Judicial Council, </w:t>
      </w:r>
    </w:p>
    <w:p w:rsidR="00000000" w:rsidDel="00000000" w:rsidP="00000000" w:rsidRDefault="00000000" w:rsidRPr="00000000" w14:paraId="0000001C">
      <w:pPr>
        <w:widowControl w:val="0"/>
        <w:numPr>
          <w:ilvl w:val="0"/>
          <w:numId w:val="1"/>
        </w:numPr>
        <w:spacing w:after="0" w:afterAutospacing="0" w:line="24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The Judicial Council will rule for further action and disciplinary measures if sufficient evidence is present for violation,</w:t>
      </w:r>
    </w:p>
    <w:p w:rsidR="00000000" w:rsidDel="00000000" w:rsidP="00000000" w:rsidRDefault="00000000" w:rsidRPr="00000000" w14:paraId="0000001D">
      <w:pPr>
        <w:widowControl w:val="0"/>
        <w:numPr>
          <w:ilvl w:val="0"/>
          <w:numId w:val="1"/>
        </w:numPr>
        <w:spacing w:after="200" w:line="240" w:lineRule="auto"/>
        <w:ind w:left="720" w:hanging="360"/>
        <w:rPr>
          <w:rFonts w:ascii="Cambria" w:cs="Cambria" w:eastAsia="Cambria" w:hAnsi="Cambria"/>
          <w:u w:val="none"/>
        </w:rPr>
      </w:pPr>
      <w:r w:rsidDel="00000000" w:rsidR="00000000" w:rsidRPr="00000000">
        <w:rPr>
          <w:rFonts w:ascii="Cambria" w:cs="Cambria" w:eastAsia="Cambria" w:hAnsi="Cambria"/>
          <w:rtl w:val="0"/>
        </w:rPr>
        <w:t xml:space="preserve">The Judicial Council shall implement the prescribed penalties upon any person found to violate the ECA; and, </w:t>
      </w:r>
    </w:p>
    <w:p w:rsidR="00000000" w:rsidDel="00000000" w:rsidP="00000000" w:rsidRDefault="00000000" w:rsidRPr="00000000" w14:paraId="0000001E">
      <w:pPr>
        <w:widowControl w:val="0"/>
        <w:spacing w:after="200" w:line="240" w:lineRule="auto"/>
        <w:rPr>
          <w:rFonts w:ascii="Cambria" w:cs="Cambria" w:eastAsia="Cambria" w:hAnsi="Cambria"/>
        </w:rPr>
      </w:pPr>
      <w:bookmarkStart w:colFirst="0" w:colLast="0" w:name="_bvcajfhv2j1p" w:id="0"/>
      <w:bookmarkEnd w:id="0"/>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that the Chief Personnel Officer, in collaboration with the Chief Legal Officer, shall draft the Election Confidentiality Agreement consistent with the provisions of this resolution, and ensure that it is distributed and signed by the Elections Council Chair, the Assistant Chair, the Chief Technology Officer, </w:t>
      </w:r>
      <w:r w:rsidDel="00000000" w:rsidR="00000000" w:rsidRPr="00000000">
        <w:rPr>
          <w:rFonts w:ascii="Cambria" w:cs="Cambria" w:eastAsia="Cambria" w:hAnsi="Cambria"/>
          <w:u w:val="single"/>
          <w:rtl w:val="0"/>
        </w:rPr>
        <w:t xml:space="preserve">Chief Personnel Officer</w:t>
      </w:r>
      <w:r w:rsidDel="00000000" w:rsidR="00000000" w:rsidRPr="00000000">
        <w:rPr>
          <w:rFonts w:ascii="Cambria" w:cs="Cambria" w:eastAsia="Cambria" w:hAnsi="Cambria"/>
          <w:rtl w:val="0"/>
        </w:rPr>
        <w:t xml:space="preserve"> and the Chief Legal Officer prior to their access to any election results data each year, starting with the 2027 ASUC elections.</w:t>
      </w:r>
      <w:r w:rsidDel="00000000" w:rsidR="00000000" w:rsidRPr="00000000">
        <w:rPr>
          <w:rtl w:val="0"/>
        </w:rPr>
      </w:r>
    </w:p>
    <w:p w:rsidR="00000000" w:rsidDel="00000000" w:rsidP="00000000" w:rsidRDefault="00000000" w:rsidRPr="00000000" w14:paraId="0000001F">
      <w:pPr>
        <w:pStyle w:val="Heading1"/>
        <w:keepNext w:val="1"/>
        <w:keepLines w:val="1"/>
        <w:pageBreakBefore w:val="0"/>
        <w:pBdr>
          <w:top w:space="0" w:sz="0" w:val="nil"/>
          <w:left w:space="0" w:sz="0" w:val="nil"/>
          <w:bottom w:space="0" w:sz="0" w:val="nil"/>
          <w:right w:space="0" w:sz="0" w:val="nil"/>
          <w:between w:space="0" w:sz="0" w:val="nil"/>
        </w:pBdr>
        <w:shd w:fill="auto" w:val="clear"/>
        <w:spacing w:after="200" w:before="200" w:lineRule="auto"/>
        <w:ind w:left="720"/>
        <w:jc w:val="center"/>
        <w:rPr>
          <w:sz w:val="28"/>
          <w:szCs w:val="28"/>
        </w:rPr>
      </w:pPr>
      <w:bookmarkStart w:colFirst="0" w:colLast="0" w:name="_wwnstqlktl9d" w:id="1"/>
      <w:bookmarkEnd w:id="1"/>
      <w:r w:rsidDel="00000000" w:rsidR="00000000" w:rsidRPr="00000000">
        <w:br w:type="page"/>
      </w:r>
      <w:r w:rsidDel="00000000" w:rsidR="00000000" w:rsidRPr="00000000">
        <w:rPr>
          <w:rtl w:val="0"/>
        </w:rPr>
      </w:r>
    </w:p>
    <w:p w:rsidR="00000000" w:rsidDel="00000000" w:rsidP="00000000" w:rsidRDefault="00000000" w:rsidRPr="00000000" w14:paraId="00000020">
      <w:pPr>
        <w:pStyle w:val="Heading1"/>
        <w:keepNext w:val="1"/>
        <w:keepLines w:val="1"/>
        <w:widowControl w:val="0"/>
        <w:spacing w:after="0" w:line="240" w:lineRule="auto"/>
        <w:rPr>
          <w:rFonts w:ascii="Cambria" w:cs="Cambria" w:eastAsia="Cambria" w:hAnsi="Cambria"/>
          <w:color w:val="222222"/>
          <w:sz w:val="40"/>
          <w:szCs w:val="40"/>
        </w:rPr>
      </w:pPr>
      <w:bookmarkStart w:colFirst="0" w:colLast="0" w:name="_xhfji9f3o4fp" w:id="2"/>
      <w:bookmarkEnd w:id="2"/>
      <w:r w:rsidDel="00000000" w:rsidR="00000000" w:rsidRPr="00000000">
        <w:rPr>
          <w:rFonts w:ascii="Cambria" w:cs="Cambria" w:eastAsia="Cambria" w:hAnsi="Cambria"/>
          <w:color w:val="222222"/>
          <w:sz w:val="40"/>
          <w:szCs w:val="40"/>
          <w:rtl w:val="0"/>
        </w:rPr>
        <w:t xml:space="preserve">Appendix A: ASUCBL 4105</w:t>
      </w:r>
    </w:p>
    <w:p w:rsidR="00000000" w:rsidDel="00000000" w:rsidP="00000000" w:rsidRDefault="00000000" w:rsidRPr="00000000" w14:paraId="00000021">
      <w:pPr>
        <w:widowControl w:val="0"/>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widowControl w:val="0"/>
        <w:spacing w:line="240" w:lineRule="auto"/>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1"/>
        <w:keepNext w:val="1"/>
        <w:keepLines w:val="1"/>
        <w:spacing w:before="200" w:lineRule="auto"/>
        <w:ind w:left="720" w:firstLine="0"/>
        <w:jc w:val="center"/>
        <w:rPr>
          <w:sz w:val="28"/>
          <w:szCs w:val="28"/>
        </w:rPr>
      </w:pPr>
      <w:bookmarkStart w:colFirst="0" w:colLast="0" w:name="_qyta35fopldf" w:id="3"/>
      <w:bookmarkEnd w:id="3"/>
      <w:r w:rsidDel="00000000" w:rsidR="00000000" w:rsidRPr="00000000">
        <w:rPr>
          <w:sz w:val="28"/>
          <w:szCs w:val="28"/>
          <w:rtl w:val="0"/>
        </w:rPr>
        <w:t xml:space="preserve">ASUCBL 4105: Tallying of Votes</w:t>
      </w:r>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spacing w:after="100" w:lineRule="auto"/>
        <w:ind w:left="72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spacing w:after="200" w:lineRule="auto"/>
        <w:ind w:left="720"/>
        <w:rPr/>
      </w:pPr>
      <w:r w:rsidDel="00000000" w:rsidR="00000000" w:rsidRPr="00000000">
        <w:rPr>
          <w:rtl w:val="0"/>
        </w:rPr>
      </w:r>
    </w:p>
    <w:p w:rsidR="00000000" w:rsidDel="00000000" w:rsidP="00000000" w:rsidRDefault="00000000" w:rsidRPr="00000000" w14:paraId="00000026">
      <w:pPr>
        <w:spacing w:after="200" w:lineRule="auto"/>
        <w:ind w:left="720"/>
        <w:rPr/>
      </w:pPr>
      <w:r w:rsidDel="00000000" w:rsidR="00000000" w:rsidRPr="00000000">
        <w:rPr>
          <w:rtl w:val="0"/>
        </w:rPr>
        <w:t xml:space="preserve">[...]</w:t>
      </w:r>
    </w:p>
    <w:p w:rsidR="00000000" w:rsidDel="00000000" w:rsidP="00000000" w:rsidRDefault="00000000" w:rsidRPr="00000000" w14:paraId="00000027">
      <w:pPr>
        <w:spacing w:after="200" w:lineRule="auto"/>
        <w:rPr>
          <w:b w:val="1"/>
          <w:bCs w:val="1"/>
        </w:rPr>
      </w:pPr>
      <w:r w:rsidDel="00000000" w:rsidR="00000000" w:rsidRPr="00000000">
        <w:rPr>
          <w:b w:val="1"/>
          <w:bCs w:val="1"/>
          <w:rtl w:val="0"/>
        </w:rPr>
        <w:t xml:space="preserve">Section 6: Records</w:t>
      </w:r>
    </w:p>
    <w:p w:rsidR="00000000" w:rsidDel="00000000" w:rsidP="00000000" w:rsidRDefault="00000000" w:rsidRPr="00000000" w14:paraId="00000028">
      <w:pPr>
        <w:spacing w:after="200" w:lineRule="auto"/>
        <w:ind w:left="720"/>
        <w:rPr>
          <w:strike w:val="1"/>
        </w:rPr>
      </w:pPr>
      <w:r w:rsidDel="00000000" w:rsidR="00000000" w:rsidRPr="00000000">
        <w:rPr>
          <w:rtl w:val="0"/>
        </w:rPr>
        <w:t xml:space="preserve">6.1</w:t>
        <w:tab/>
        <w:t xml:space="preserve">All online voting databases, paper ballots, opened paper ballot envelopes, unopened paper ballot envelopes, paper ballot tally sheets, tabulation computer program, and other data  shall be held by the Elections Council until the first day of the filing period for the following regular ASUC election. After such time all records, except the online voting databases, paper ballot tally sheets, and tabulation software may be destroyed unless appeal, recount, or re-election is pending, in which cases they shall be held until the dispute is resolved.</w:t>
      </w:r>
      <w:r w:rsidDel="00000000" w:rsidR="00000000" w:rsidRPr="00000000">
        <w:rPr>
          <w:rtl w:val="0"/>
        </w:rPr>
      </w:r>
    </w:p>
    <w:p w:rsidR="00000000" w:rsidDel="00000000" w:rsidP="00000000" w:rsidRDefault="00000000" w:rsidRPr="00000000" w14:paraId="00000029">
      <w:pPr>
        <w:spacing w:after="200" w:lineRule="auto"/>
        <w:ind w:left="720"/>
        <w:rPr/>
      </w:pPr>
      <w:r w:rsidDel="00000000" w:rsidR="00000000" w:rsidRPr="00000000">
        <w:rPr>
          <w:rtl w:val="0"/>
        </w:rPr>
        <w:t xml:space="preserve">6.2</w:t>
        <w:tab/>
        <w:t xml:space="preserve">Prior to the preliminary ballot tabulation, the results of the election shall be only known by the Elections Council Chair, the Assistant Chair, the Chief Technology Officer, and the Chief Legal Officer. </w:t>
      </w:r>
    </w:p>
    <w:p w:rsidR="00000000" w:rsidDel="00000000" w:rsidP="00000000" w:rsidRDefault="00000000" w:rsidRPr="00000000" w14:paraId="0000002A">
      <w:pPr>
        <w:spacing w:after="200" w:lineRule="auto"/>
        <w:ind w:left="1440" w:hanging="720"/>
        <w:rPr>
          <w:u w:val="single"/>
        </w:rPr>
      </w:pPr>
      <w:r w:rsidDel="00000000" w:rsidR="00000000" w:rsidRPr="00000000">
        <w:rPr>
          <w:rtl w:val="0"/>
        </w:rPr>
        <w:t xml:space="preserve">6.2.1 </w:t>
        <w:tab/>
        <w:t xml:space="preserve">The results shall not be disclosed to any other individual prior to the preliminary ballot tabulation, unless this group votes unanimously to present the results for verification to an external figure due to extenuating circumstances. </w:t>
      </w:r>
      <w:r w:rsidDel="00000000" w:rsidR="00000000" w:rsidRPr="00000000">
        <w:rPr>
          <w:rtl w:val="0"/>
        </w:rPr>
      </w:r>
    </w:p>
    <w:p w:rsidR="00000000" w:rsidDel="00000000" w:rsidP="00000000" w:rsidRDefault="00000000" w:rsidRPr="00000000" w14:paraId="0000002B">
      <w:pPr>
        <w:spacing w:after="200" w:lineRule="auto"/>
        <w:ind w:left="720"/>
        <w:rPr/>
      </w:pPr>
      <w:r w:rsidDel="00000000" w:rsidR="00000000" w:rsidRPr="00000000">
        <w:rPr>
          <w:rtl w:val="0"/>
        </w:rPr>
        <w:t xml:space="preserve">6.3</w:t>
        <w:tab/>
        <w:t xml:space="preserve">All elections records shall be made available for public inspection following the preliminary ballot tabulation. The online voting databases and paper ballot tally sheets must be posted online. The tabulation software and source code shall be posted online unless it is proprietary third-party software. If the tabulation software cannot be posted online it shall be made available for public inspection at the ASUC offices.</w:t>
      </w:r>
    </w:p>
    <w:p w:rsidR="00000000" w:rsidDel="00000000" w:rsidP="00000000" w:rsidRDefault="00000000" w:rsidRPr="00000000" w14:paraId="0000002C">
      <w:pPr>
        <w:spacing w:after="200" w:lineRule="auto"/>
        <w:ind w:left="720"/>
        <w:rPr>
          <w:u w:val="single"/>
        </w:rPr>
      </w:pPr>
      <w:r w:rsidDel="00000000" w:rsidR="00000000" w:rsidRPr="00000000">
        <w:rPr>
          <w:u w:val="single"/>
          <w:rtl w:val="0"/>
        </w:rPr>
        <w:t xml:space="preserve">6.4</w:t>
        <w:tab/>
        <w:t xml:space="preserve">All individuals with access to election results prior to the preliminary ballot tabulation shall be required to sign a Elections Confidentiality Agreement (ECA), drafted by the Chief Personnel Officer in collaboration with the Chief Legal Officer, as a condition of access to such information.</w:t>
      </w:r>
    </w:p>
    <w:p w:rsidR="00000000" w:rsidDel="00000000" w:rsidP="00000000" w:rsidRDefault="00000000" w:rsidRPr="00000000" w14:paraId="0000002D">
      <w:pPr>
        <w:spacing w:after="200" w:lineRule="auto"/>
        <w:ind w:left="1440" w:hanging="720"/>
        <w:rPr>
          <w:u w:val="single"/>
        </w:rPr>
      </w:pPr>
      <w:r w:rsidDel="00000000" w:rsidR="00000000" w:rsidRPr="00000000">
        <w:rPr>
          <w:u w:val="single"/>
          <w:rtl w:val="0"/>
        </w:rPr>
        <w:t xml:space="preserve">6.4.1 </w:t>
        <w:tab/>
        <w:t xml:space="preserve">The Elections Confidentiality Agreement shall explicitly prohibit the premature disclosure of election results, in whole or in part, prior to their official release, including but not limited to informal sharing, signaling, or transmission of such information to unauthorized individuals.</w:t>
      </w:r>
    </w:p>
    <w:p w:rsidR="00000000" w:rsidDel="00000000" w:rsidP="00000000" w:rsidRDefault="00000000" w:rsidRPr="00000000" w14:paraId="0000002E">
      <w:pPr>
        <w:spacing w:after="200" w:lineRule="auto"/>
        <w:ind w:left="1440" w:hanging="720"/>
        <w:rPr>
          <w:u w:val="single"/>
        </w:rPr>
      </w:pPr>
      <w:r w:rsidDel="00000000" w:rsidR="00000000" w:rsidRPr="00000000">
        <w:rPr>
          <w:u w:val="single"/>
          <w:rtl w:val="0"/>
        </w:rPr>
        <w:t xml:space="preserve">6.4.2 </w:t>
        <w:tab/>
        <w:t xml:space="preserve">Any individuals found in violation of the confidentiality agreement shall be subject to penalties as determined by the Judicial Council. In exercising its discretion, the Judicial Council shall consider relevant factors, including but not limited to the intent of the individual, and the scope of the disclosure. Penalties shall include:</w:t>
      </w:r>
    </w:p>
    <w:p w:rsidR="00000000" w:rsidDel="00000000" w:rsidP="00000000" w:rsidRDefault="00000000" w:rsidRPr="00000000" w14:paraId="0000002F">
      <w:pPr>
        <w:spacing w:after="200" w:lineRule="auto"/>
        <w:ind w:left="2160" w:hanging="720"/>
        <w:rPr>
          <w:u w:val="single"/>
        </w:rPr>
      </w:pPr>
      <w:r w:rsidDel="00000000" w:rsidR="00000000" w:rsidRPr="00000000">
        <w:rPr>
          <w:u w:val="single"/>
          <w:rtl w:val="0"/>
        </w:rPr>
        <w:t xml:space="preserve">6.4.2.1</w:t>
        <w:tab/>
        <w:t xml:space="preserve">Permanent disbarment from one’s ASUC position and immediate revoking of any rights or privileges tied to their position.</w:t>
      </w:r>
    </w:p>
    <w:p w:rsidR="00000000" w:rsidDel="00000000" w:rsidP="00000000" w:rsidRDefault="00000000" w:rsidRPr="00000000" w14:paraId="00000030">
      <w:pPr>
        <w:spacing w:after="200" w:lineRule="auto"/>
        <w:ind w:left="2160" w:hanging="720"/>
        <w:rPr>
          <w:u w:val="single"/>
        </w:rPr>
      </w:pPr>
      <w:r w:rsidDel="00000000" w:rsidR="00000000" w:rsidRPr="00000000">
        <w:rPr>
          <w:u w:val="single"/>
          <w:rtl w:val="0"/>
        </w:rPr>
        <w:t xml:space="preserve">6.4.2.2</w:t>
        <w:tab/>
        <w:t xml:space="preserve">Permanent ineligibility to hold any future ASUC appointed position.</w:t>
      </w:r>
    </w:p>
    <w:p w:rsidR="00000000" w:rsidDel="00000000" w:rsidP="00000000" w:rsidRDefault="00000000" w:rsidRPr="00000000" w14:paraId="00000031">
      <w:pPr>
        <w:spacing w:after="200" w:lineRule="auto"/>
        <w:ind w:left="2160" w:hanging="720"/>
        <w:rPr>
          <w:u w:val="single"/>
        </w:rPr>
      </w:pPr>
      <w:r w:rsidDel="00000000" w:rsidR="00000000" w:rsidRPr="00000000">
        <w:rPr>
          <w:u w:val="single"/>
          <w:rtl w:val="0"/>
        </w:rPr>
        <w:t xml:space="preserve">6.4.2.3</w:t>
        <w:tab/>
        <w:t xml:space="preserve">Complete forfeiture of any undispersed stipend associated with the individual’s current position, if applicable.</w:t>
      </w:r>
    </w:p>
    <w:p w:rsidR="00000000" w:rsidDel="00000000" w:rsidP="00000000" w:rsidRDefault="00000000" w:rsidRPr="00000000" w14:paraId="00000032">
      <w:pPr>
        <w:spacing w:after="200" w:lineRule="auto"/>
        <w:ind w:left="1440" w:hanging="720"/>
        <w:rPr>
          <w:u w:val="single"/>
        </w:rPr>
      </w:pPr>
      <w:r w:rsidDel="00000000" w:rsidR="00000000" w:rsidRPr="00000000">
        <w:rPr>
          <w:u w:val="single"/>
          <w:rtl w:val="0"/>
        </w:rPr>
        <w:t xml:space="preserve">6.4.3 </w:t>
        <w:tab/>
        <w:t xml:space="preserve">Allegations of violations shall be adjudicated by the Judicial Council. A case may be brought before the Judicial Council upon the submission of evidence, and the Judicial Council shall have the authority to determine whether a violation has occurred, and to impose such penalties as it deems appropriate and proportionate under the circumstances from which they arise.</w:t>
      </w:r>
      <w:r w:rsidDel="00000000" w:rsidR="00000000" w:rsidRPr="00000000">
        <w:rPr>
          <w:rtl w:val="0"/>
        </w:rPr>
      </w:r>
    </w:p>
    <w:p w:rsidR="00000000" w:rsidDel="00000000" w:rsidP="00000000" w:rsidRDefault="00000000" w:rsidRPr="00000000" w14:paraId="00000033">
      <w:pPr>
        <w:spacing w:after="200" w:lineRule="auto"/>
        <w:ind w:left="720"/>
        <w:rPr/>
      </w:pPr>
      <w:r w:rsidDel="00000000" w:rsidR="00000000" w:rsidRPr="00000000">
        <w:rPr>
          <w:rtl w:val="0"/>
        </w:rPr>
        <w:t xml:space="preserve">[...]</w:t>
      </w:r>
      <w:r w:rsidDel="00000000" w:rsidR="00000000" w:rsidRPr="00000000">
        <w:rPr>
          <w:rtl w:val="0"/>
        </w:rPr>
      </w:r>
    </w:p>
    <w:sectPr>
      <w:headerReference r:id="rId8"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7">
      <w:pPr>
        <w:spacing w:line="240" w:lineRule="auto"/>
        <w:rPr>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https://docs.google.com/document/d/1fJer73p2ONRNSS5mnxRGXzcjX7scRPJ7IdneRmFrw_M/edit?tab=t.0#heading=h.9n6wwdgrhbar</w:t>
        </w:r>
      </w:hyperlink>
      <w:r w:rsidDel="00000000" w:rsidR="00000000" w:rsidRPr="00000000">
        <w:rPr>
          <w:rtl w:val="0"/>
        </w:rPr>
      </w:r>
    </w:p>
    <w:p w:rsidR="00000000" w:rsidDel="00000000" w:rsidP="00000000" w:rsidRDefault="00000000" w:rsidRPr="00000000" w14:paraId="00000038">
      <w:pPr>
        <w:spacing w:line="240" w:lineRule="auto"/>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b w:val="1"/>
        <w:bCs w:val="1"/>
        <w:smallCaps w:val="0"/>
      </w:rPr>
    </w:pPr>
    <w:r w:rsidDel="00000000" w:rsidR="00000000" w:rsidRPr="00000000">
      <w:rPr>
        <w:rtl w:val="0"/>
      </w:rPr>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b w:val="1"/>
        <w:bCs w:val="1"/>
        <w:smallCaps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00" w:lineRule="auto"/>
    </w:pPr>
    <w:rPr>
      <w:b w:val="1"/>
      <w:bCs w:val="1"/>
      <w:smallCaps w:val="0"/>
    </w:rPr>
  </w:style>
  <w:style w:type="paragraph" w:styleId="Heading2">
    <w:name w:val="heading 2"/>
    <w:basedOn w:val="Normal"/>
    <w:next w:val="Normal"/>
    <w:pPr>
      <w:keepNext w:val="1"/>
      <w:keepLines w:val="1"/>
      <w:pageBreakBefore w:val="0"/>
      <w:spacing w:before="200" w:lineRule="auto"/>
    </w:pPr>
    <w:rPr>
      <w:rFonts w:ascii="Trebuchet MS" w:cs="Trebuchet MS" w:eastAsia="Trebuchet MS" w:hAnsi="Trebuchet MS"/>
      <w:b w:val="1"/>
      <w:bCs w:val="1"/>
      <w:smallCaps w:val="0"/>
      <w:sz w:val="26"/>
      <w:szCs w:val="26"/>
    </w:rPr>
  </w:style>
  <w:style w:type="paragraph" w:styleId="Heading3">
    <w:name w:val="heading 3"/>
    <w:basedOn w:val="Normal"/>
    <w:next w:val="Normal"/>
    <w:pPr>
      <w:keepNext w:val="1"/>
      <w:keepLines w:val="1"/>
      <w:pageBreakBefore w:val="0"/>
      <w:spacing w:before="160" w:lineRule="auto"/>
    </w:pPr>
    <w:rPr>
      <w:rFonts w:ascii="Trebuchet MS" w:cs="Trebuchet MS" w:eastAsia="Trebuchet MS" w:hAnsi="Trebuchet MS"/>
      <w:b w:val="1"/>
      <w:bCs w:val="1"/>
      <w:smallCaps w:val="0"/>
      <w:color w:val="666666"/>
      <w:sz w:val="24"/>
      <w:szCs w:val="24"/>
    </w:rPr>
  </w:style>
  <w:style w:type="paragraph" w:styleId="Heading4">
    <w:name w:val="heading 4"/>
    <w:basedOn w:val="Normal"/>
    <w:next w:val="Normal"/>
    <w:pPr>
      <w:keepNext w:val="1"/>
      <w:keepLines w:val="1"/>
      <w:pageBreakBefore w:val="0"/>
      <w:spacing w:before="160" w:lineRule="auto"/>
    </w:pPr>
    <w:rPr>
      <w:rFonts w:ascii="Trebuchet MS" w:cs="Trebuchet MS" w:eastAsia="Trebuchet MS" w:hAnsi="Trebuchet MS"/>
      <w:smallCaps w:val="0"/>
      <w:color w:val="666666"/>
      <w:u w:val="single"/>
    </w:rPr>
  </w:style>
  <w:style w:type="paragraph" w:styleId="Heading5">
    <w:name w:val="heading 5"/>
    <w:basedOn w:val="Normal"/>
    <w:next w:val="Normal"/>
    <w:pPr>
      <w:keepNext w:val="1"/>
      <w:keepLines w:val="1"/>
      <w:pageBreakBefore w:val="0"/>
      <w:spacing w:before="160" w:lineRule="auto"/>
    </w:pPr>
    <w:rPr>
      <w:rFonts w:ascii="Trebuchet MS" w:cs="Trebuchet MS" w:eastAsia="Trebuchet MS" w:hAnsi="Trebuchet MS"/>
      <w:smallCaps w:val="0"/>
      <w:color w:val="666666"/>
    </w:rPr>
  </w:style>
  <w:style w:type="paragraph" w:styleId="Heading6">
    <w:name w:val="heading 6"/>
    <w:basedOn w:val="Normal"/>
    <w:next w:val="Normal"/>
    <w:pPr>
      <w:keepNext w:val="1"/>
      <w:keepLines w:val="1"/>
      <w:pageBreakBefore w:val="0"/>
      <w:spacing w:before="160" w:lineRule="auto"/>
    </w:pPr>
    <w:rPr>
      <w:rFonts w:ascii="Trebuchet MS" w:cs="Trebuchet MS" w:eastAsia="Trebuchet MS" w:hAnsi="Trebuchet MS"/>
      <w:i w:val="1"/>
      <w:iCs w:val="1"/>
      <w:smallCaps w:val="0"/>
      <w:color w:val="666666"/>
    </w:rPr>
  </w:style>
  <w:style w:type="paragraph" w:styleId="Title">
    <w:name w:val="Title"/>
    <w:basedOn w:val="Normal"/>
    <w:next w:val="Normal"/>
    <w:pPr>
      <w:keepNext w:val="1"/>
      <w:keepLines w:val="1"/>
      <w:pageBreakBefore w:val="0"/>
    </w:pPr>
    <w:rPr>
      <w:rFonts w:ascii="Trebuchet MS" w:cs="Trebuchet MS" w:eastAsia="Trebuchet MS" w:hAnsi="Trebuchet MS"/>
      <w:smallCaps w:val="0"/>
      <w:sz w:val="42"/>
      <w:szCs w:val="42"/>
    </w:rPr>
  </w:style>
  <w:style w:type="paragraph" w:styleId="Subtitle">
    <w:name w:val="Subtitle"/>
    <w:basedOn w:val="Normal"/>
    <w:next w:val="Normal"/>
    <w:pPr>
      <w:keepNext w:val="1"/>
      <w:keepLines w:val="1"/>
      <w:pageBreakBefore w:val="0"/>
      <w:spacing w:after="200" w:lineRule="auto"/>
    </w:pPr>
    <w:rPr>
      <w:rFonts w:ascii="Trebuchet MS" w:cs="Trebuchet MS" w:eastAsia="Trebuchet MS" w:hAnsi="Trebuchet MS"/>
      <w:i w:val="1"/>
      <w:iCs w:val="1"/>
      <w:smallCaps w:val="0"/>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fJer73p2ONRNSS5mnxRGXzcjX7scRPJ7IdneRmFrw_M/edit?tab=t.0#heading=h.9n6wwdgrhb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