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5840" w:w="12240" w:orient="portrait"/>
          <w:pgMar w:bottom="1440" w:top="1440" w:left="1440" w:right="1440" w:header="720" w:footer="720"/>
          <w:pgNumType w:start="1"/>
        </w:sectPr>
      </w:pPr>
      <w:bookmarkStart w:colFirst="0" w:colLast="0" w:name="_r54svxxacfqi" w:id="0"/>
      <w:bookmarkEnd w:id="0"/>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Tab 1</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widowControl w:val="0"/>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2025/2026 - 116</w:t>
      </w:r>
    </w:p>
    <w:p w:rsidR="00000000" w:rsidDel="00000000" w:rsidP="00000000" w:rsidRDefault="00000000" w:rsidRPr="00000000" w14:paraId="00000005">
      <w:pPr>
        <w:ind w:left="720" w:firstLine="0"/>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A Resolution t</w:t>
      </w:r>
      <w:r w:rsidDel="00000000" w:rsidR="00000000" w:rsidRPr="00000000">
        <w:rPr>
          <w:rFonts w:ascii="Cambria" w:cs="Cambria" w:eastAsia="Cambria" w:hAnsi="Cambria"/>
          <w:b w:val="1"/>
          <w:bCs w:val="1"/>
          <w:i w:val="1"/>
          <w:iCs w:val="1"/>
          <w:sz w:val="28"/>
          <w:szCs w:val="28"/>
          <w:rtl w:val="0"/>
        </w:rPr>
        <w:t xml:space="preserve">o Advance Systemwide Housing Transparency and Accountability in UC Student Housing Programs </w:t>
      </w:r>
      <w:r w:rsidDel="00000000" w:rsidR="00000000" w:rsidRPr="00000000">
        <w:rPr>
          <w:rtl w:val="0"/>
        </w:rPr>
      </w:r>
    </w:p>
    <w:p w:rsidR="00000000" w:rsidDel="00000000" w:rsidP="00000000" w:rsidRDefault="00000000" w:rsidRPr="00000000" w14:paraId="00000006">
      <w:pPr>
        <w:jc w:val="center"/>
        <w:rPr>
          <w:rFonts w:ascii="Cambria" w:cs="Cambria" w:eastAsia="Cambria" w:hAnsi="Cambria"/>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widowControl w:val="0"/>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8">
      <w:pPr>
        <w:widowControl w:val="0"/>
        <w:spacing w:after="200" w:lineRule="auto"/>
        <w:jc w:val="center"/>
        <w:rPr>
          <w:rFonts w:ascii="Cambria" w:cs="Cambria" w:eastAsia="Cambria" w:hAnsi="Cambria"/>
        </w:rPr>
      </w:pPr>
      <w:r w:rsidDel="00000000" w:rsidR="00000000" w:rsidRPr="00000000">
        <w:rPr>
          <w:rFonts w:ascii="Cambria" w:cs="Cambria" w:eastAsia="Cambria" w:hAnsi="Cambria"/>
          <w:rtl w:val="0"/>
        </w:rPr>
        <w:t xml:space="preserve">Abigail Verino (ASUC President)</w:t>
      </w:r>
    </w:p>
    <w:p w:rsidR="00000000" w:rsidDel="00000000" w:rsidP="00000000" w:rsidRDefault="00000000" w:rsidRPr="00000000" w14:paraId="00000009">
      <w:pPr>
        <w:widowControl w:val="0"/>
        <w:jc w:val="center"/>
        <w:rPr>
          <w:rFonts w:ascii="Cambria" w:cs="Cambria" w:eastAsia="Cambria" w:hAnsi="Cambria"/>
          <w:u w:val="single"/>
        </w:rPr>
      </w:pPr>
      <w:r w:rsidDel="00000000" w:rsidR="00000000" w:rsidRPr="00000000">
        <w:rPr>
          <w:rFonts w:ascii="Cambria" w:cs="Cambria" w:eastAsia="Cambria" w:hAnsi="Cambria"/>
          <w:b w:val="1"/>
          <w:bCs w:val="1"/>
          <w:u w:val="single"/>
          <w:rtl w:val="0"/>
        </w:rPr>
        <w:t xml:space="preserve">Authors</w:t>
      </w:r>
      <w:r w:rsidDel="00000000" w:rsidR="00000000" w:rsidRPr="00000000">
        <w:rPr>
          <w:rtl w:val="0"/>
        </w:rPr>
      </w:r>
    </w:p>
    <w:p w:rsidR="00000000" w:rsidDel="00000000" w:rsidP="00000000" w:rsidRDefault="00000000" w:rsidRPr="00000000" w14:paraId="0000000A">
      <w:pPr>
        <w:widowControl w:val="0"/>
        <w:spacing w:after="200" w:lineRule="auto"/>
        <w:jc w:val="center"/>
        <w:rPr>
          <w:rFonts w:ascii="Cambria" w:cs="Cambria" w:eastAsia="Cambria" w:hAnsi="Cambria"/>
          <w:u w:val="single"/>
        </w:rPr>
      </w:pPr>
      <w:r w:rsidDel="00000000" w:rsidR="00000000" w:rsidRPr="00000000">
        <w:rPr>
          <w:rFonts w:ascii="Cambria" w:cs="Cambria" w:eastAsia="Cambria" w:hAnsi="Cambria"/>
          <w:u w:val="single"/>
          <w:rtl w:val="0"/>
        </w:rPr>
        <w:t xml:space="preserve">Maria Davila</w:t>
      </w:r>
    </w:p>
    <w:p w:rsidR="00000000" w:rsidDel="00000000" w:rsidP="00000000" w:rsidRDefault="00000000" w:rsidRPr="00000000" w14:paraId="0000000B">
      <w:pPr>
        <w:widowControl w:val="0"/>
        <w:jc w:val="center"/>
        <w:rPr>
          <w:rFonts w:ascii="Cambria" w:cs="Cambria" w:eastAsia="Cambria" w:hAnsi="Cambria"/>
        </w:rPr>
      </w:pPr>
      <w:r w:rsidDel="00000000" w:rsidR="00000000" w:rsidRPr="00000000">
        <w:rPr>
          <w:rFonts w:ascii="Cambria" w:cs="Cambria" w:eastAsia="Cambria" w:hAnsi="Cambria"/>
          <w:b w:val="1"/>
          <w:bCs w:val="1"/>
          <w:rtl w:val="0"/>
        </w:rPr>
        <w:t xml:space="preserve">Cosponsors</w:t>
      </w:r>
      <w:r w:rsidDel="00000000" w:rsidR="00000000" w:rsidRPr="00000000">
        <w:rPr>
          <w:rtl w:val="0"/>
        </w:rPr>
      </w:r>
    </w:p>
    <w:p w:rsidR="00000000" w:rsidDel="00000000" w:rsidP="00000000" w:rsidRDefault="00000000" w:rsidRPr="00000000" w14:paraId="0000000C">
      <w:pPr>
        <w:widowControl w:val="0"/>
        <w:jc w:val="center"/>
        <w:rPr>
          <w:rFonts w:ascii="Cambria" w:cs="Cambria" w:eastAsia="Cambria" w:hAnsi="Cambria"/>
          <w:sz w:val="24"/>
          <w:szCs w:val="24"/>
          <w:u w:val="single"/>
        </w:rPr>
      </w:pPr>
      <w:r w:rsidDel="00000000" w:rsidR="00000000" w:rsidRPr="00000000">
        <w:rPr>
          <w:rFonts w:ascii="Cambria" w:cs="Cambria" w:eastAsia="Cambria" w:hAnsi="Cambria"/>
          <w:highlight w:val="white"/>
          <w:rtl w:val="0"/>
        </w:rPr>
        <w:t xml:space="preserve">Duke Dela Rosa (UCSA Legislative Director, EAVP Federal Government Relations Director),</w:t>
      </w:r>
      <w:r w:rsidDel="00000000" w:rsidR="00000000" w:rsidRPr="00000000">
        <w:rPr>
          <w:rFonts w:ascii="Cambria" w:cs="Cambria" w:eastAsia="Cambria" w:hAnsi="Cambria"/>
          <w:highlight w:val="white"/>
          <w:u w:val="single"/>
          <w:rtl w:val="0"/>
        </w:rPr>
        <w:t xml:space="preserve"> Abdullah Memon (ASUC Senator), Kianna Rodarte (ASUC Senator), Sydnee Thy (ASUC Senator), Sara Teran (ASUC Senator)</w:t>
      </w:r>
      <w:r w:rsidDel="00000000" w:rsidR="00000000" w:rsidRPr="00000000">
        <w:rPr>
          <w:rtl w:val="0"/>
        </w:rPr>
      </w:r>
    </w:p>
    <w:p w:rsidR="00000000" w:rsidDel="00000000" w:rsidP="00000000" w:rsidRDefault="00000000" w:rsidRPr="00000000" w14:paraId="0000000D">
      <w:pPr>
        <w:spacing w:before="28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a state Audit released in October 2025 identified significant oversight failures regarding the University of California’s (UC) management of state-funded housing programs, specifically concerning the implementation of SB 169</w:t>
      </w:r>
      <w:r w:rsidDel="00000000" w:rsidR="00000000" w:rsidRPr="00000000">
        <w:rPr>
          <w:rFonts w:ascii="Cambria" w:cs="Cambria" w:eastAsia="Cambria" w:hAnsi="Cambria"/>
          <w:vertAlign w:val="superscript"/>
        </w:rPr>
        <w:footnoteReference w:customMarkFollows="0" w:id="0"/>
      </w:r>
      <w:r w:rsidDel="00000000" w:rsidR="00000000" w:rsidRPr="00000000">
        <w:rPr>
          <w:rFonts w:ascii="Cambria" w:cs="Cambria" w:eastAsia="Cambria" w:hAnsi="Cambria"/>
          <w:rtl w:val="0"/>
        </w:rPr>
        <w:t xml:space="preserve">; and,</w:t>
      </w:r>
    </w:p>
    <w:p w:rsidR="00000000" w:rsidDel="00000000" w:rsidP="00000000" w:rsidRDefault="00000000" w:rsidRPr="00000000" w14:paraId="0000000E">
      <w:pPr>
        <w:spacing w:before="28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California State Auditor’s October 2025 Report (2024-111) finds that the University of California Office of the President (UCOP) lacks a coordinated systemwide strategy to address the student housing crisis, resulting in significant data deficiencies and underestimations of student needs</w:t>
      </w:r>
      <w:r w:rsidDel="00000000" w:rsidR="00000000" w:rsidRPr="00000000">
        <w:rPr>
          <w:rFonts w:ascii="Cambria" w:cs="Cambria" w:eastAsia="Cambria" w:hAnsi="Cambria"/>
          <w:vertAlign w:val="superscript"/>
        </w:rPr>
        <w:footnoteReference w:customMarkFollows="0" w:id="1"/>
      </w:r>
      <w:r w:rsidDel="00000000" w:rsidR="00000000" w:rsidRPr="00000000">
        <w:rPr>
          <w:rFonts w:ascii="Cambria" w:cs="Cambria" w:eastAsia="Cambria" w:hAnsi="Cambria"/>
          <w:rtl w:val="0"/>
        </w:rPr>
        <w:t xml:space="preserve">; and,</w:t>
      </w:r>
    </w:p>
    <w:p w:rsidR="00000000" w:rsidDel="00000000" w:rsidP="00000000" w:rsidRDefault="00000000" w:rsidRPr="00000000" w14:paraId="0000000F">
      <w:pPr>
        <w:spacing w:before="28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audit further indicates that delays, cost overruns, and unclear project timelines are not consistently or transparently communicated across campuses, undermining accountability for the use of public funds</w:t>
      </w:r>
      <w:r w:rsidDel="00000000" w:rsidR="00000000" w:rsidRPr="00000000">
        <w:rPr>
          <w:rFonts w:ascii="Cambria" w:cs="Cambria" w:eastAsia="Cambria" w:hAnsi="Cambria"/>
          <w:vertAlign w:val="superscript"/>
        </w:rPr>
        <w:footnoteReference w:customMarkFollows="0" w:id="2"/>
      </w:r>
      <w:r w:rsidDel="00000000" w:rsidR="00000000" w:rsidRPr="00000000">
        <w:rPr>
          <w:rFonts w:ascii="Cambria" w:cs="Cambria" w:eastAsia="Cambria" w:hAnsi="Cambria"/>
          <w:rtl w:val="0"/>
        </w:rPr>
        <w:t xml:space="preserve">; and, </w:t>
      </w:r>
    </w:p>
    <w:p w:rsidR="00000000" w:rsidDel="00000000" w:rsidP="00000000" w:rsidRDefault="00000000" w:rsidRPr="00000000" w14:paraId="00000010">
      <w:pPr>
        <w:spacing w:before="28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despite billions of dollars in state and university investment into student housing development, there is no standardized, publicly accessible system that tracks total project cost, cost per bed, or demand; and,</w:t>
      </w:r>
    </w:p>
    <w:p w:rsidR="00000000" w:rsidDel="00000000" w:rsidP="00000000" w:rsidRDefault="00000000" w:rsidRPr="00000000" w14:paraId="00000011">
      <w:pPr>
        <w:spacing w:before="28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current reporting practices do not consistently disclose project timelines, including expected completion dates, delays, and the total time elapsed between funding allocation and project delivery, limiting the ability to assess implementation and efficiency; and, </w:t>
      </w:r>
    </w:p>
    <w:p w:rsidR="00000000" w:rsidDel="00000000" w:rsidP="00000000" w:rsidRDefault="00000000" w:rsidRPr="00000000" w14:paraId="00000012">
      <w:pPr>
        <w:spacing w:before="28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publicly available housing data across UC campuses is fragmented, inconsistently updated and often delayed, making it difficult to determine when information was last reported and how current datasets reflect present housing conditions; and,</w:t>
      </w:r>
    </w:p>
    <w:p w:rsidR="00000000" w:rsidDel="00000000" w:rsidP="00000000" w:rsidRDefault="00000000" w:rsidRPr="00000000" w14:paraId="00000013">
      <w:pPr>
        <w:spacing w:before="28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UCOP responded by disputing the non-partisan findings of the State Auditor, a move characterized by the Auditor as a rejection of objective oversight, raising concerns about the University’s willingness to fully engage with external oversight</w:t>
      </w:r>
      <w:r w:rsidDel="00000000" w:rsidR="00000000" w:rsidRPr="00000000">
        <w:rPr>
          <w:rFonts w:ascii="Cambria" w:cs="Cambria" w:eastAsia="Cambria" w:hAnsi="Cambria"/>
          <w:vertAlign w:val="superscript"/>
        </w:rPr>
        <w:footnoteReference w:customMarkFollows="0" w:id="3"/>
      </w:r>
      <w:r w:rsidDel="00000000" w:rsidR="00000000" w:rsidRPr="00000000">
        <w:rPr>
          <w:rFonts w:ascii="Cambria" w:cs="Cambria" w:eastAsia="Cambria" w:hAnsi="Cambria"/>
          <w:rtl w:val="0"/>
        </w:rPr>
        <w:t xml:space="preserve">; and, </w:t>
      </w:r>
    </w:p>
    <w:p w:rsidR="00000000" w:rsidDel="00000000" w:rsidP="00000000" w:rsidRDefault="00000000" w:rsidRPr="00000000" w14:paraId="00000014">
      <w:pPr>
        <w:spacing w:before="28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UC Board of Regents holds fiduciary responsibility for ensuring that state housing funds are allocated efficiently, equitably, and in alignment with legislative intent, including compliance with SB 169</w:t>
      </w:r>
      <w:r w:rsidDel="00000000" w:rsidR="00000000" w:rsidRPr="00000000">
        <w:rPr>
          <w:rFonts w:ascii="Cambria" w:cs="Cambria" w:eastAsia="Cambria" w:hAnsi="Cambria"/>
          <w:vertAlign w:val="superscript"/>
        </w:rPr>
        <w:footnoteReference w:customMarkFollows="0" w:id="4"/>
      </w:r>
      <w:r w:rsidDel="00000000" w:rsidR="00000000" w:rsidRPr="00000000">
        <w:rPr>
          <w:rFonts w:ascii="Cambria" w:cs="Cambria" w:eastAsia="Cambria" w:hAnsi="Cambria"/>
          <w:vertAlign w:val="superscript"/>
        </w:rPr>
        <w:footnoteReference w:customMarkFollows="0" w:id="5"/>
      </w:r>
      <w:r w:rsidDel="00000000" w:rsidR="00000000" w:rsidRPr="00000000">
        <w:rPr>
          <w:rFonts w:ascii="Cambria" w:cs="Cambria" w:eastAsia="Cambria" w:hAnsi="Cambria"/>
          <w:vertAlign w:val="superscript"/>
        </w:rPr>
        <w:footnoteReference w:customMarkFollows="0" w:id="6"/>
      </w:r>
      <w:r w:rsidDel="00000000" w:rsidR="00000000" w:rsidRPr="00000000">
        <w:rPr>
          <w:rFonts w:ascii="Cambria" w:cs="Cambria" w:eastAsia="Cambria" w:hAnsi="Cambria"/>
          <w:rtl w:val="0"/>
        </w:rPr>
        <w:t xml:space="preserve">; and, </w:t>
      </w:r>
    </w:p>
    <w:p w:rsidR="00000000" w:rsidDel="00000000" w:rsidP="00000000" w:rsidRDefault="00000000" w:rsidRPr="00000000" w14:paraId="00000015">
      <w:pPr>
        <w:spacing w:before="28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current UC reporting practices do not provide standardized, publicly accessible, and regularly updated systemwide dataset on student housing production, affordability levels, or demographic impact; and, </w:t>
      </w:r>
    </w:p>
    <w:p w:rsidR="00000000" w:rsidDel="00000000" w:rsidP="00000000" w:rsidRDefault="00000000" w:rsidRPr="00000000" w14:paraId="00000016">
      <w:pPr>
        <w:spacing w:before="28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absence of transparent and centralized reporting limits student governments’, including the ASUC’s, ability to advocate effectively for housing resources and hold institutions accountable;</w:t>
      </w:r>
    </w:p>
    <w:p w:rsidR="00000000" w:rsidDel="00000000" w:rsidP="00000000" w:rsidRDefault="00000000" w:rsidRPr="00000000" w14:paraId="00000017">
      <w:pPr>
        <w:rPr>
          <w:rFonts w:ascii="Cambria" w:cs="Cambria" w:eastAsia="Cambria" w:hAnsi="Cambria"/>
        </w:rPr>
      </w:pPr>
      <w:r w:rsidDel="00000000" w:rsidR="00000000" w:rsidRPr="00000000">
        <w:rPr>
          <w:rtl w:val="0"/>
        </w:rPr>
      </w:r>
    </w:p>
    <w:p w:rsidR="00000000" w:rsidDel="00000000" w:rsidP="00000000" w:rsidRDefault="00000000" w:rsidRPr="00000000" w14:paraId="00000018">
      <w:pPr>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 </w:t>
      </w:r>
      <w:r w:rsidDel="00000000" w:rsidR="00000000" w:rsidRPr="00000000">
        <w:rPr>
          <w:rFonts w:ascii="Cambria" w:cs="Cambria" w:eastAsia="Cambria" w:hAnsi="Cambria"/>
          <w:rtl w:val="0"/>
        </w:rPr>
        <w:t xml:space="preserve">the Associated Students of the University of California formally recognize and support the findings of the October 2025 California State Auditor report and emphasize that need for strengthened systemwide housing oversight and transparency; and,</w:t>
      </w:r>
    </w:p>
    <w:p w:rsidR="00000000" w:rsidDel="00000000" w:rsidP="00000000" w:rsidRDefault="00000000" w:rsidRPr="00000000" w14:paraId="00000019">
      <w:pPr>
        <w:rPr>
          <w:rFonts w:ascii="Cambria" w:cs="Cambria" w:eastAsia="Cambria" w:hAnsi="Cambria"/>
        </w:rPr>
      </w:pPr>
      <w:r w:rsidDel="00000000" w:rsidR="00000000" w:rsidRPr="00000000">
        <w:rPr>
          <w:rtl w:val="0"/>
        </w:rPr>
      </w:r>
    </w:p>
    <w:p w:rsidR="00000000" w:rsidDel="00000000" w:rsidP="00000000" w:rsidRDefault="00000000" w:rsidRPr="00000000" w14:paraId="0000001A">
      <w:pPr>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 </w:t>
      </w:r>
      <w:r w:rsidDel="00000000" w:rsidR="00000000" w:rsidRPr="00000000">
        <w:rPr>
          <w:rFonts w:ascii="Cambria" w:cs="Cambria" w:eastAsia="Cambria" w:hAnsi="Cambria"/>
          <w:rtl w:val="0"/>
        </w:rPr>
        <w:t xml:space="preserve">that the ASUC will pursue a systemwide advocacy and lobbying initiative, in collaboration with the External Affairs Vice President (EAVP) and the University of California Student Association (UCSA), to advance policies that improve transparency, accountability, and data standardization in UC housing programs; and, </w:t>
      </w:r>
    </w:p>
    <w:p w:rsidR="00000000" w:rsidDel="00000000" w:rsidP="00000000" w:rsidRDefault="00000000" w:rsidRPr="00000000" w14:paraId="0000001B">
      <w:pPr>
        <w:rPr>
          <w:rFonts w:ascii="Cambria" w:cs="Cambria" w:eastAsia="Cambria" w:hAnsi="Cambria"/>
        </w:rPr>
      </w:pPr>
      <w:r w:rsidDel="00000000" w:rsidR="00000000" w:rsidRPr="00000000">
        <w:rPr>
          <w:rtl w:val="0"/>
        </w:rPr>
      </w:r>
    </w:p>
    <w:p w:rsidR="00000000" w:rsidDel="00000000" w:rsidP="00000000" w:rsidRDefault="00000000" w:rsidRPr="00000000" w14:paraId="0000001C">
      <w:pPr>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 </w:t>
      </w:r>
      <w:r w:rsidDel="00000000" w:rsidR="00000000" w:rsidRPr="00000000">
        <w:rPr>
          <w:rFonts w:ascii="Cambria" w:cs="Cambria" w:eastAsia="Cambria" w:hAnsi="Cambria"/>
          <w:rtl w:val="0"/>
        </w:rPr>
        <w:t xml:space="preserve">that the ASUC calls upon the UC Board of Regents and UCOP to establish a standardized, systemwide housing transparency reporting framework to ensure transparency  with SB 169 and other state housing mandates; and, </w:t>
      </w:r>
    </w:p>
    <w:p w:rsidR="00000000" w:rsidDel="00000000" w:rsidP="00000000" w:rsidRDefault="00000000" w:rsidRPr="00000000" w14:paraId="0000001D">
      <w:pPr>
        <w:rPr>
          <w:rFonts w:ascii="Cambria" w:cs="Cambria" w:eastAsia="Cambria" w:hAnsi="Cambria"/>
        </w:rPr>
      </w:pPr>
      <w:r w:rsidDel="00000000" w:rsidR="00000000" w:rsidRPr="00000000">
        <w:rPr>
          <w:rtl w:val="0"/>
        </w:rPr>
      </w:r>
    </w:p>
    <w:p w:rsidR="00000000" w:rsidDel="00000000" w:rsidP="00000000" w:rsidRDefault="00000000" w:rsidRPr="00000000" w14:paraId="0000001E">
      <w:pPr>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 </w:t>
      </w:r>
      <w:r w:rsidDel="00000000" w:rsidR="00000000" w:rsidRPr="00000000">
        <w:rPr>
          <w:rFonts w:ascii="Cambria" w:cs="Cambria" w:eastAsia="Cambria" w:hAnsi="Cambria"/>
          <w:rtl w:val="0"/>
        </w:rPr>
        <w:t xml:space="preserve"> that such a systemwide housing report shall, at minimum, include the following publicly accessible data and updates on a regular basis: </w:t>
      </w:r>
    </w:p>
    <w:p w:rsidR="00000000" w:rsidDel="00000000" w:rsidP="00000000" w:rsidRDefault="00000000" w:rsidRPr="00000000" w14:paraId="0000001F">
      <w:pPr>
        <w:rPr>
          <w:rFonts w:ascii="Cambria" w:cs="Cambria" w:eastAsia="Cambria" w:hAnsi="Cambria"/>
        </w:rPr>
      </w:pPr>
      <w:r w:rsidDel="00000000" w:rsidR="00000000" w:rsidRPr="00000000">
        <w:rPr>
          <w:rFonts w:ascii="Cambria" w:cs="Cambria" w:eastAsia="Cambria" w:hAnsi="Cambria"/>
          <w:rtl w:val="0"/>
        </w:rPr>
        <w:tab/>
      </w:r>
      <w:r w:rsidDel="00000000" w:rsidR="00000000" w:rsidRPr="00000000">
        <w:rPr>
          <w:rFonts w:ascii="Cambria" w:cs="Cambria" w:eastAsia="Cambria" w:hAnsi="Cambria"/>
          <w:rtl w:val="0"/>
        </w:rPr>
        <w:t xml:space="preserve">I.</w:t>
      </w:r>
      <w:r w:rsidDel="00000000" w:rsidR="00000000" w:rsidRPr="00000000">
        <w:rPr>
          <w:rFonts w:ascii="Cambria" w:cs="Cambria" w:eastAsia="Cambria" w:hAnsi="Cambria"/>
          <w:rtl w:val="0"/>
        </w:rPr>
        <w:t xml:space="preserve"> Housing supply and capacity </w:t>
      </w:r>
    </w:p>
    <w:p w:rsidR="00000000" w:rsidDel="00000000" w:rsidP="00000000" w:rsidRDefault="00000000" w:rsidRPr="00000000" w14:paraId="00000020">
      <w:pPr>
        <w:rPr>
          <w:rFonts w:ascii="Cambria" w:cs="Cambria" w:eastAsia="Cambria" w:hAnsi="Cambria"/>
        </w:rPr>
      </w:pPr>
      <w:r w:rsidDel="00000000" w:rsidR="00000000" w:rsidRPr="00000000">
        <w:rPr>
          <w:rFonts w:ascii="Cambria" w:cs="Cambria" w:eastAsia="Cambria" w:hAnsi="Cambria"/>
          <w:rtl w:val="0"/>
        </w:rPr>
        <w:tab/>
        <w:tab/>
        <w:t xml:space="preserve">- Total beds and occupancy</w:t>
      </w:r>
    </w:p>
    <w:p w:rsidR="00000000" w:rsidDel="00000000" w:rsidP="00000000" w:rsidRDefault="00000000" w:rsidRPr="00000000" w14:paraId="00000021">
      <w:pPr>
        <w:ind w:firstLine="720"/>
        <w:rPr>
          <w:rFonts w:ascii="Cambria" w:cs="Cambria" w:eastAsia="Cambria" w:hAnsi="Cambria"/>
        </w:rPr>
      </w:pPr>
      <w:r w:rsidDel="00000000" w:rsidR="00000000" w:rsidRPr="00000000">
        <w:rPr>
          <w:rFonts w:ascii="Cambria" w:cs="Cambria" w:eastAsia="Cambria" w:hAnsi="Cambria"/>
          <w:rtl w:val="0"/>
        </w:rPr>
        <w:t xml:space="preserve">II. Project timelines and accountability </w:t>
      </w:r>
    </w:p>
    <w:p w:rsidR="00000000" w:rsidDel="00000000" w:rsidP="00000000" w:rsidRDefault="00000000" w:rsidRPr="00000000" w14:paraId="00000022">
      <w:pPr>
        <w:ind w:firstLine="720"/>
        <w:rPr>
          <w:rFonts w:ascii="Cambria" w:cs="Cambria" w:eastAsia="Cambria" w:hAnsi="Cambria"/>
        </w:rPr>
      </w:pPr>
      <w:r w:rsidDel="00000000" w:rsidR="00000000" w:rsidRPr="00000000">
        <w:rPr>
          <w:rFonts w:ascii="Cambria" w:cs="Cambria" w:eastAsia="Cambria" w:hAnsi="Cambria"/>
          <w:rtl w:val="0"/>
        </w:rPr>
        <w:tab/>
        <w:t xml:space="preserve">- Project start dates, expected completion dates</w:t>
      </w:r>
    </w:p>
    <w:p w:rsidR="00000000" w:rsidDel="00000000" w:rsidP="00000000" w:rsidRDefault="00000000" w:rsidRPr="00000000" w14:paraId="00000023">
      <w:pPr>
        <w:ind w:firstLine="720"/>
        <w:rPr>
          <w:rFonts w:ascii="Cambria" w:cs="Cambria" w:eastAsia="Cambria" w:hAnsi="Cambria"/>
        </w:rPr>
      </w:pPr>
      <w:r w:rsidDel="00000000" w:rsidR="00000000" w:rsidRPr="00000000">
        <w:rPr>
          <w:rFonts w:ascii="Cambria" w:cs="Cambria" w:eastAsia="Cambria" w:hAnsi="Cambria"/>
          <w:rtl w:val="0"/>
        </w:rPr>
        <w:tab/>
        <w:t xml:space="preserve">- Delays and revised timelines </w:t>
      </w:r>
    </w:p>
    <w:p w:rsidR="00000000" w:rsidDel="00000000" w:rsidP="00000000" w:rsidRDefault="00000000" w:rsidRPr="00000000" w14:paraId="00000024">
      <w:pPr>
        <w:ind w:firstLine="720"/>
        <w:rPr>
          <w:rFonts w:ascii="Cambria" w:cs="Cambria" w:eastAsia="Cambria" w:hAnsi="Cambria"/>
        </w:rPr>
      </w:pPr>
      <w:r w:rsidDel="00000000" w:rsidR="00000000" w:rsidRPr="00000000">
        <w:rPr>
          <w:rFonts w:ascii="Cambria" w:cs="Cambria" w:eastAsia="Cambria" w:hAnsi="Cambria"/>
          <w:rtl w:val="0"/>
        </w:rPr>
        <w:tab/>
        <w:t xml:space="preserve">- Time elapsed from funding allocation to project completion</w:t>
      </w:r>
    </w:p>
    <w:p w:rsidR="00000000" w:rsidDel="00000000" w:rsidP="00000000" w:rsidRDefault="00000000" w:rsidRPr="00000000" w14:paraId="00000025">
      <w:pPr>
        <w:rPr>
          <w:rFonts w:ascii="Cambria" w:cs="Cambria" w:eastAsia="Cambria" w:hAnsi="Cambria"/>
        </w:rPr>
      </w:pPr>
      <w:r w:rsidDel="00000000" w:rsidR="00000000" w:rsidRPr="00000000">
        <w:rPr>
          <w:rFonts w:ascii="Cambria" w:cs="Cambria" w:eastAsia="Cambria" w:hAnsi="Cambria"/>
          <w:rtl w:val="0"/>
        </w:rPr>
        <w:tab/>
        <w:t xml:space="preserve">III. Financial transparency </w:t>
      </w:r>
    </w:p>
    <w:p w:rsidR="00000000" w:rsidDel="00000000" w:rsidP="00000000" w:rsidRDefault="00000000" w:rsidRPr="00000000" w14:paraId="00000026">
      <w:pPr>
        <w:rPr>
          <w:rFonts w:ascii="Cambria" w:cs="Cambria" w:eastAsia="Cambria" w:hAnsi="Cambria"/>
        </w:rPr>
      </w:pPr>
      <w:r w:rsidDel="00000000" w:rsidR="00000000" w:rsidRPr="00000000">
        <w:rPr>
          <w:rFonts w:ascii="Cambria" w:cs="Cambria" w:eastAsia="Cambria" w:hAnsi="Cambria"/>
          <w:rtl w:val="0"/>
        </w:rPr>
        <w:tab/>
        <w:tab/>
        <w:t xml:space="preserve">- Total project costs and cost per bed/unit</w:t>
      </w:r>
    </w:p>
    <w:p w:rsidR="00000000" w:rsidDel="00000000" w:rsidP="00000000" w:rsidRDefault="00000000" w:rsidRPr="00000000" w14:paraId="00000027">
      <w:pPr>
        <w:rPr>
          <w:rFonts w:ascii="Cambria" w:cs="Cambria" w:eastAsia="Cambria" w:hAnsi="Cambria"/>
        </w:rPr>
      </w:pPr>
      <w:r w:rsidDel="00000000" w:rsidR="00000000" w:rsidRPr="00000000">
        <w:rPr>
          <w:rFonts w:ascii="Cambria" w:cs="Cambria" w:eastAsia="Cambria" w:hAnsi="Cambria"/>
          <w:rtl w:val="0"/>
        </w:rPr>
        <w:tab/>
        <w:tab/>
        <w:t xml:space="preserve">- Sources of funding</w:t>
      </w:r>
    </w:p>
    <w:p w:rsidR="00000000" w:rsidDel="00000000" w:rsidP="00000000" w:rsidRDefault="00000000" w:rsidRPr="00000000" w14:paraId="00000028">
      <w:pPr>
        <w:rPr>
          <w:rFonts w:ascii="Cambria" w:cs="Cambria" w:eastAsia="Cambria" w:hAnsi="Cambria"/>
        </w:rPr>
      </w:pPr>
      <w:r w:rsidDel="00000000" w:rsidR="00000000" w:rsidRPr="00000000">
        <w:rPr>
          <w:rFonts w:ascii="Cambria" w:cs="Cambria" w:eastAsia="Cambria" w:hAnsi="Cambria"/>
          <w:rtl w:val="0"/>
        </w:rPr>
        <w:tab/>
        <w:t xml:space="preserve">IV. Affordability metrics</w:t>
      </w:r>
    </w:p>
    <w:p w:rsidR="00000000" w:rsidDel="00000000" w:rsidP="00000000" w:rsidRDefault="00000000" w:rsidRPr="00000000" w14:paraId="00000029">
      <w:pPr>
        <w:rPr>
          <w:rFonts w:ascii="Cambria" w:cs="Cambria" w:eastAsia="Cambria" w:hAnsi="Cambria"/>
        </w:rPr>
      </w:pPr>
      <w:r w:rsidDel="00000000" w:rsidR="00000000" w:rsidRPr="00000000">
        <w:rPr>
          <w:rFonts w:ascii="Cambria" w:cs="Cambria" w:eastAsia="Cambria" w:hAnsi="Cambria"/>
          <w:rtl w:val="0"/>
        </w:rPr>
        <w:tab/>
        <w:tab/>
        <w:t xml:space="preserve">- Rent levels by housing type </w:t>
      </w:r>
    </w:p>
    <w:p w:rsidR="00000000" w:rsidDel="00000000" w:rsidP="00000000" w:rsidRDefault="00000000" w:rsidRPr="00000000" w14:paraId="0000002A">
      <w:pPr>
        <w:rPr>
          <w:rFonts w:ascii="Cambria" w:cs="Cambria" w:eastAsia="Cambria" w:hAnsi="Cambria"/>
        </w:rPr>
      </w:pPr>
      <w:r w:rsidDel="00000000" w:rsidR="00000000" w:rsidRPr="00000000">
        <w:rPr>
          <w:rFonts w:ascii="Cambria" w:cs="Cambria" w:eastAsia="Cambria" w:hAnsi="Cambria"/>
          <w:rtl w:val="0"/>
        </w:rPr>
        <w:tab/>
        <w:tab/>
        <w:t xml:space="preserve">- Percentage of units designated as affordable </w:t>
      </w:r>
    </w:p>
    <w:p w:rsidR="00000000" w:rsidDel="00000000" w:rsidP="00000000" w:rsidRDefault="00000000" w:rsidRPr="00000000" w14:paraId="0000002B">
      <w:pPr>
        <w:rPr>
          <w:rFonts w:ascii="Cambria" w:cs="Cambria" w:eastAsia="Cambria" w:hAnsi="Cambria"/>
        </w:rPr>
      </w:pPr>
      <w:r w:rsidDel="00000000" w:rsidR="00000000" w:rsidRPr="00000000">
        <w:rPr>
          <w:rFonts w:ascii="Cambria" w:cs="Cambria" w:eastAsia="Cambria" w:hAnsi="Cambria"/>
          <w:rtl w:val="0"/>
        </w:rPr>
        <w:tab/>
        <w:t xml:space="preserve">V. Equity and Demographic Impact</w:t>
      </w:r>
    </w:p>
    <w:p w:rsidR="00000000" w:rsidDel="00000000" w:rsidP="00000000" w:rsidRDefault="00000000" w:rsidRPr="00000000" w14:paraId="0000002C">
      <w:pPr>
        <w:rPr>
          <w:rFonts w:ascii="Cambria" w:cs="Cambria" w:eastAsia="Cambria" w:hAnsi="Cambria"/>
        </w:rPr>
      </w:pPr>
      <w:r w:rsidDel="00000000" w:rsidR="00000000" w:rsidRPr="00000000">
        <w:rPr>
          <w:rFonts w:ascii="Cambria" w:cs="Cambria" w:eastAsia="Cambria" w:hAnsi="Cambria"/>
          <w:rtl w:val="0"/>
        </w:rPr>
        <w:tab/>
        <w:tab/>
        <w:t xml:space="preserve">- Populations served (transfer, graduate, international students)</w:t>
      </w:r>
    </w:p>
    <w:p w:rsidR="00000000" w:rsidDel="00000000" w:rsidP="00000000" w:rsidRDefault="00000000" w:rsidRPr="00000000" w14:paraId="0000002D">
      <w:pPr>
        <w:rPr>
          <w:rFonts w:ascii="Cambria" w:cs="Cambria" w:eastAsia="Cambria" w:hAnsi="Cambria"/>
        </w:rPr>
      </w:pPr>
      <w:r w:rsidDel="00000000" w:rsidR="00000000" w:rsidRPr="00000000">
        <w:rPr>
          <w:rFonts w:ascii="Cambria" w:cs="Cambria" w:eastAsia="Cambria" w:hAnsi="Cambria"/>
          <w:rtl w:val="0"/>
        </w:rPr>
        <w:tab/>
        <w:tab/>
        <w:t xml:space="preserve">- Waitlist data </w:t>
      </w:r>
    </w:p>
    <w:p w:rsidR="00000000" w:rsidDel="00000000" w:rsidP="00000000" w:rsidRDefault="00000000" w:rsidRPr="00000000" w14:paraId="0000002E">
      <w:pPr>
        <w:rPr>
          <w:rFonts w:ascii="Cambria" w:cs="Cambria" w:eastAsia="Cambria" w:hAnsi="Cambria"/>
        </w:rPr>
      </w:pPr>
      <w:r w:rsidDel="00000000" w:rsidR="00000000" w:rsidRPr="00000000">
        <w:rPr>
          <w:rFonts w:ascii="Cambria" w:cs="Cambria" w:eastAsia="Cambria" w:hAnsi="Cambria"/>
          <w:rtl w:val="0"/>
        </w:rPr>
        <w:tab/>
        <w:t xml:space="preserve">VI. Demand and Need</w:t>
      </w:r>
    </w:p>
    <w:p w:rsidR="00000000" w:rsidDel="00000000" w:rsidP="00000000" w:rsidRDefault="00000000" w:rsidRPr="00000000" w14:paraId="0000002F">
      <w:pPr>
        <w:rPr>
          <w:rFonts w:ascii="Cambria" w:cs="Cambria" w:eastAsia="Cambria" w:hAnsi="Cambria"/>
        </w:rPr>
      </w:pPr>
      <w:r w:rsidDel="00000000" w:rsidR="00000000" w:rsidRPr="00000000">
        <w:rPr>
          <w:rFonts w:ascii="Cambria" w:cs="Cambria" w:eastAsia="Cambria" w:hAnsi="Cambria"/>
          <w:rtl w:val="0"/>
        </w:rPr>
        <w:tab/>
        <w:tab/>
        <w:t xml:space="preserve">- Total student demand for housing </w:t>
      </w:r>
      <w:r w:rsidDel="00000000" w:rsidR="00000000" w:rsidRPr="00000000">
        <w:rPr>
          <w:rtl w:val="0"/>
        </w:rPr>
      </w:r>
    </w:p>
    <w:p w:rsidR="00000000" w:rsidDel="00000000" w:rsidP="00000000" w:rsidRDefault="00000000" w:rsidRPr="00000000" w14:paraId="00000030">
      <w:pPr>
        <w:rPr>
          <w:rFonts w:ascii="Cambria" w:cs="Cambria" w:eastAsia="Cambria" w:hAnsi="Cambria"/>
        </w:rPr>
      </w:pPr>
      <w:r w:rsidDel="00000000" w:rsidR="00000000" w:rsidRPr="00000000">
        <w:rPr>
          <w:rtl w:val="0"/>
        </w:rPr>
      </w:r>
    </w:p>
    <w:p w:rsidR="00000000" w:rsidDel="00000000" w:rsidP="00000000" w:rsidRDefault="00000000" w:rsidRPr="00000000" w14:paraId="00000031">
      <w:pPr>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 </w:t>
      </w:r>
      <w:r w:rsidDel="00000000" w:rsidR="00000000" w:rsidRPr="00000000">
        <w:rPr>
          <w:rFonts w:ascii="Cambria" w:cs="Cambria" w:eastAsia="Cambria" w:hAnsi="Cambria"/>
          <w:rtl w:val="0"/>
        </w:rPr>
        <w:t xml:space="preserve">that this report shall be published annually following the close of each fiscal year, accompanied by mid-year progress updates, and maintained by a centralized, publicly accessible online dashboard; and,</w:t>
      </w:r>
    </w:p>
    <w:p w:rsidR="00000000" w:rsidDel="00000000" w:rsidP="00000000" w:rsidRDefault="00000000" w:rsidRPr="00000000" w14:paraId="00000032">
      <w:pPr>
        <w:rPr>
          <w:rFonts w:ascii="Cambria" w:cs="Cambria" w:eastAsia="Cambria" w:hAnsi="Cambria"/>
        </w:rPr>
      </w:pPr>
      <w:r w:rsidDel="00000000" w:rsidR="00000000" w:rsidRPr="00000000">
        <w:rPr>
          <w:rtl w:val="0"/>
        </w:rPr>
      </w:r>
    </w:p>
    <w:p w:rsidR="00000000" w:rsidDel="00000000" w:rsidP="00000000" w:rsidRDefault="00000000" w:rsidRPr="00000000" w14:paraId="00000033">
      <w:pPr>
        <w:rPr>
          <w:rFonts w:ascii="Cambria" w:cs="Cambria" w:eastAsia="Cambria" w:hAnsi="Cambria"/>
        </w:rPr>
      </w:pPr>
      <w:r w:rsidDel="00000000" w:rsidR="00000000" w:rsidRPr="00000000">
        <w:rPr>
          <w:rFonts w:ascii="Cambria" w:cs="Cambria" w:eastAsia="Cambria" w:hAnsi="Cambria"/>
          <w:b w:val="1"/>
          <w:bCs w:val="1"/>
          <w:rtl w:val="0"/>
        </w:rPr>
        <w:t xml:space="preserve">THEREFORE BE IT FINALLY RESOLVED, </w:t>
      </w:r>
      <w:r w:rsidDel="00000000" w:rsidR="00000000" w:rsidRPr="00000000">
        <w:rPr>
          <w:rFonts w:ascii="Cambria" w:cs="Cambria" w:eastAsia="Cambria" w:hAnsi="Cambria"/>
          <w:rtl w:val="0"/>
        </w:rPr>
        <w:t xml:space="preserve">that the ASUC urges the University of California Office of the President (UCOP) to demonstrate its commitment to transparency, accountability, and public trust through the timely and consistent implementation of systemwide housing reporting and oversight practices, specifically by increasing transparency and administrative oversight regarding the allocation and execution of SB 169. </w:t>
      </w:r>
      <w:r w:rsidDel="00000000" w:rsidR="00000000" w:rsidRPr="00000000">
        <w:rPr>
          <w:rtl w:val="0"/>
        </w:rPr>
      </w:r>
    </w:p>
    <w:p w:rsidR="00000000" w:rsidDel="00000000" w:rsidP="00000000" w:rsidRDefault="00000000" w:rsidRPr="00000000" w14:paraId="00000034">
      <w:pPr>
        <w:ind w:left="720" w:firstLine="0"/>
        <w:rPr>
          <w:rFonts w:ascii="Cambria" w:cs="Cambria" w:eastAsia="Cambria" w:hAnsi="Cambria"/>
        </w:rPr>
      </w:pPr>
      <w:r w:rsidDel="00000000" w:rsidR="00000000" w:rsidRPr="00000000">
        <w:rPr>
          <w:rtl w:val="0"/>
        </w:rPr>
      </w:r>
    </w:p>
    <w:p w:rsidR="00000000" w:rsidDel="00000000" w:rsidP="00000000" w:rsidRDefault="00000000" w:rsidRPr="00000000" w14:paraId="00000035">
      <w:pPr>
        <w:rPr>
          <w:rFonts w:ascii="Cambria" w:cs="Cambria" w:eastAsia="Cambria" w:hAnsi="Cambria"/>
        </w:rPr>
      </w:pPr>
      <w:r w:rsidDel="00000000" w:rsidR="00000000" w:rsidRPr="00000000">
        <w:rPr>
          <w:rtl w:val="0"/>
        </w:rPr>
      </w:r>
    </w:p>
    <w:p w:rsidR="00000000" w:rsidDel="00000000" w:rsidP="00000000" w:rsidRDefault="00000000" w:rsidRPr="00000000" w14:paraId="00000036">
      <w:pPr>
        <w:rPr>
          <w:rFonts w:ascii="Cambria" w:cs="Cambria" w:eastAsia="Cambria" w:hAnsi="Cambria"/>
        </w:rPr>
      </w:pPr>
      <w:r w:rsidDel="00000000" w:rsidR="00000000" w:rsidRPr="00000000">
        <w:rPr>
          <w:rtl w:val="0"/>
        </w:rPr>
      </w:r>
    </w:p>
    <w:p w:rsidR="00000000" w:rsidDel="00000000" w:rsidP="00000000" w:rsidRDefault="00000000" w:rsidRPr="00000000" w14:paraId="00000037">
      <w:pPr>
        <w:rPr>
          <w:rFonts w:ascii="Cambria" w:cs="Cambria" w:eastAsia="Cambria" w:hAnsi="Cambria"/>
        </w:rPr>
      </w:pPr>
      <w:r w:rsidDel="00000000" w:rsidR="00000000" w:rsidRPr="00000000">
        <w:rPr>
          <w:rtl w:val="0"/>
        </w:rPr>
      </w:r>
    </w:p>
    <w:sectPr>
      <w:type w:val="nextPage"/>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3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https://www.auditor.ca.gov/wp-content/uploads/2025/10/2024-111-Report.pdf</w:t>
        </w:r>
      </w:hyperlink>
      <w:r w:rsidDel="00000000" w:rsidR="00000000" w:rsidRPr="00000000">
        <w:rPr>
          <w:sz w:val="20"/>
          <w:szCs w:val="20"/>
          <w:rtl w:val="0"/>
        </w:rPr>
        <w:t xml:space="preserve"> </w:t>
      </w:r>
    </w:p>
  </w:footnote>
  <w:footnote w:id="1">
    <w:p w:rsidR="00000000" w:rsidDel="00000000" w:rsidP="00000000" w:rsidRDefault="00000000" w:rsidRPr="00000000" w14:paraId="0000003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color w:val="1155cc"/>
            <w:sz w:val="20"/>
            <w:szCs w:val="20"/>
            <w:u w:val="single"/>
            <w:rtl w:val="0"/>
          </w:rPr>
          <w:t xml:space="preserve">https://www.auditor.ca.gov/wp-content/uploads/2025/10/2024-111-Report.pdf</w:t>
        </w:r>
      </w:hyperlink>
      <w:r w:rsidDel="00000000" w:rsidR="00000000" w:rsidRPr="00000000">
        <w:rPr>
          <w:sz w:val="20"/>
          <w:szCs w:val="20"/>
          <w:rtl w:val="0"/>
        </w:rPr>
        <w:t xml:space="preserve"> </w:t>
      </w:r>
    </w:p>
  </w:footnote>
  <w:footnote w:id="2">
    <w:p w:rsidR="00000000" w:rsidDel="00000000" w:rsidP="00000000" w:rsidRDefault="00000000" w:rsidRPr="00000000" w14:paraId="0000003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3">
        <w:r w:rsidDel="00000000" w:rsidR="00000000" w:rsidRPr="00000000">
          <w:rPr>
            <w:color w:val="1155cc"/>
            <w:sz w:val="20"/>
            <w:szCs w:val="20"/>
            <w:u w:val="single"/>
            <w:rtl w:val="0"/>
          </w:rPr>
          <w:t xml:space="preserve">https://www.auditor.ca.gov/wp-content/uploads/2025/10/2024-111-Report.pdf</w:t>
        </w:r>
      </w:hyperlink>
      <w:r w:rsidDel="00000000" w:rsidR="00000000" w:rsidRPr="00000000">
        <w:rPr>
          <w:sz w:val="20"/>
          <w:szCs w:val="20"/>
          <w:rtl w:val="0"/>
        </w:rPr>
        <w:t xml:space="preserve"> </w:t>
      </w:r>
    </w:p>
  </w:footnote>
  <w:footnote w:id="3">
    <w:p w:rsidR="00000000" w:rsidDel="00000000" w:rsidP="00000000" w:rsidRDefault="00000000" w:rsidRPr="00000000" w14:paraId="0000003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4">
        <w:r w:rsidDel="00000000" w:rsidR="00000000" w:rsidRPr="00000000">
          <w:rPr>
            <w:color w:val="1155cc"/>
            <w:sz w:val="20"/>
            <w:szCs w:val="20"/>
            <w:u w:val="single"/>
            <w:rtl w:val="0"/>
          </w:rPr>
          <w:t xml:space="preserve">https://www.auditor.ca.gov/reports/2024-111/#UC-Office-of-the-President</w:t>
        </w:r>
      </w:hyperlink>
      <w:r w:rsidDel="00000000" w:rsidR="00000000" w:rsidRPr="00000000">
        <w:rPr>
          <w:sz w:val="20"/>
          <w:szCs w:val="20"/>
          <w:rtl w:val="0"/>
        </w:rPr>
        <w:t xml:space="preserve"> </w:t>
      </w:r>
    </w:p>
  </w:footnote>
  <w:footnote w:id="4">
    <w:p w:rsidR="00000000" w:rsidDel="00000000" w:rsidP="00000000" w:rsidRDefault="00000000" w:rsidRPr="00000000" w14:paraId="0000003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5">
        <w:r w:rsidDel="00000000" w:rsidR="00000000" w:rsidRPr="00000000">
          <w:rPr>
            <w:color w:val="1155cc"/>
            <w:sz w:val="20"/>
            <w:szCs w:val="20"/>
            <w:u w:val="single"/>
            <w:rtl w:val="0"/>
          </w:rPr>
          <w:t xml:space="preserve">https://policy.ucop.edu/delegations-of-authority/california-constitution-article-9-education.html</w:t>
        </w:r>
      </w:hyperlink>
      <w:r w:rsidDel="00000000" w:rsidR="00000000" w:rsidRPr="00000000">
        <w:rPr>
          <w:sz w:val="20"/>
          <w:szCs w:val="20"/>
          <w:rtl w:val="0"/>
        </w:rPr>
        <w:t xml:space="preserve"> </w:t>
      </w:r>
    </w:p>
  </w:footnote>
  <w:footnote w:id="5">
    <w:p w:rsidR="00000000" w:rsidDel="00000000" w:rsidP="00000000" w:rsidRDefault="00000000" w:rsidRPr="00000000" w14:paraId="0000003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6">
        <w:r w:rsidDel="00000000" w:rsidR="00000000" w:rsidRPr="00000000">
          <w:rPr>
            <w:color w:val="1155cc"/>
            <w:sz w:val="20"/>
            <w:szCs w:val="20"/>
            <w:u w:val="single"/>
            <w:rtl w:val="0"/>
          </w:rPr>
          <w:t xml:space="preserve">https://regents.universityofcalifornia.edu/about/#:~:text=The%20University%20is%20governed%20by,year%20term%2C%20beginning%20July%201</w:t>
        </w:r>
      </w:hyperlink>
      <w:r w:rsidDel="00000000" w:rsidR="00000000" w:rsidRPr="00000000">
        <w:rPr>
          <w:sz w:val="20"/>
          <w:szCs w:val="20"/>
          <w:rtl w:val="0"/>
        </w:rPr>
        <w:t xml:space="preserve">. </w:t>
      </w:r>
    </w:p>
  </w:footnote>
  <w:footnote w:id="6">
    <w:p w:rsidR="00000000" w:rsidDel="00000000" w:rsidP="00000000" w:rsidRDefault="00000000" w:rsidRPr="00000000" w14:paraId="0000003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7">
        <w:r w:rsidDel="00000000" w:rsidR="00000000" w:rsidRPr="00000000">
          <w:rPr>
            <w:color w:val="1155cc"/>
            <w:sz w:val="20"/>
            <w:szCs w:val="20"/>
            <w:u w:val="single"/>
            <w:rtl w:val="0"/>
          </w:rPr>
          <w:t xml:space="preserve">https://leginfo.legislature.ca.gov/faces/billNavClient.xhtml?bill_id=202120220SB169</w:t>
        </w:r>
      </w:hyperlink>
      <w:r w:rsidDel="00000000" w:rsidR="00000000" w:rsidRPr="00000000">
        <w:rPr>
          <w:sz w:val="20"/>
          <w:szCs w:val="20"/>
          <w:rtl w:val="0"/>
        </w:rPr>
        <w:t xml:space="preserve"> </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s://www.auditor.ca.gov/wp-content/uploads/2025/10/2024-111-Report.pdf" TargetMode="External"/><Relationship Id="rId2" Type="http://schemas.openxmlformats.org/officeDocument/2006/relationships/hyperlink" Target="https://www.auditor.ca.gov/wp-content/uploads/2025/10/2024-111-Report.pdf" TargetMode="External"/><Relationship Id="rId3" Type="http://schemas.openxmlformats.org/officeDocument/2006/relationships/hyperlink" Target="https://www.auditor.ca.gov/wp-content/uploads/2025/10/2024-111-Report.pdf" TargetMode="External"/><Relationship Id="rId4" Type="http://schemas.openxmlformats.org/officeDocument/2006/relationships/hyperlink" Target="https://www.auditor.ca.gov/reports/2024-111/#UC-Office-of-the-President" TargetMode="External"/><Relationship Id="rId5" Type="http://schemas.openxmlformats.org/officeDocument/2006/relationships/hyperlink" Target="https://policy.ucop.edu/delegations-of-authority/california-constitution-article-9-education.html" TargetMode="External"/><Relationship Id="rId6" Type="http://schemas.openxmlformats.org/officeDocument/2006/relationships/hyperlink" Target="https://regents.universityofcalifornia.edu/about/#:~:text=The%20University%20is%20governed%20by,year%20term%2C%20beginning%20July%201" TargetMode="External"/><Relationship Id="rId7" Type="http://schemas.openxmlformats.org/officeDocument/2006/relationships/hyperlink" Target="https://leginfo.legislature.ca.gov/faces/billNavClient.xhtml?bill_id=202120220SB16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