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line="240" w:lineRule="auto"/>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 2025/2026-115</w:t>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Passing the FY27 ASUC Annual Budget and Spaces Allocation</w:t>
      </w:r>
    </w:p>
    <w:p w:rsidR="00000000" w:rsidDel="00000000" w:rsidP="00000000" w:rsidRDefault="00000000" w:rsidRPr="00000000" w14:paraId="00000004">
      <w:pPr>
        <w:pageBreakBefore w:val="0"/>
        <w:widowControl w:val="0"/>
        <w:spacing w:line="240" w:lineRule="auto"/>
        <w:rPr>
          <w:rFonts w:ascii="Cambria" w:cs="Cambria" w:eastAsia="Cambria" w:hAnsi="Cambria"/>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ageBreakBefore w:val="0"/>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pageBreakBefore w:val="0"/>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Clara Hinsdale (Spaces Director), Jonathan Ngai (Chief Financial Officer), Isha Chander (Executive Vice President) </w:t>
      </w:r>
    </w:p>
    <w:p w:rsidR="00000000" w:rsidDel="00000000" w:rsidP="00000000" w:rsidRDefault="00000000" w:rsidRPr="00000000" w14:paraId="00000007">
      <w:pPr>
        <w:pageBreakBefore w:val="0"/>
        <w:ind w:left="720" w:firstLine="0"/>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Associated Students of the University of California (ASUC) has the responsibility to fiscally support 500+ ASUC-Sponsored Registered Student Organizations (RSOs) and internal units (i.e., Chartered Programs, Commissions, Elected, Appointed Officials, Administrative Office); and,</w:t>
      </w:r>
    </w:p>
    <w:p w:rsidR="00000000" w:rsidDel="00000000" w:rsidP="00000000" w:rsidRDefault="00000000" w:rsidRPr="00000000" w14:paraId="00000009">
      <w:pPr>
        <w:widowControl w:val="0"/>
        <w:spacing w:after="200" w:line="276"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Office of the Chief Financial Officer (OCFO) is responsible for processing Annual Budget and Spaces Allocation (ABSA) applications during the annual funding process to prepare  the following fiscal year’s general budget</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0A">
      <w:pPr>
        <w:pageBreakBefore w:val="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Annual Spaces Allocation is compiled pursuant to ASUCBL 2101, ASUCBL 2201, ASUCBL 2202, and ASUCBL 2204 and provides space to ASUC-sponsored Registered Student Organizations and internal ASUC entities and programs; and, </w:t>
      </w:r>
    </w:p>
    <w:p w:rsidR="00000000" w:rsidDel="00000000" w:rsidP="00000000" w:rsidRDefault="00000000" w:rsidRPr="00000000" w14:paraId="0000000B">
      <w:pPr>
        <w:pageBreakBefore w:val="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OCFO has maintained zero-based budgeting principles by analyzing historical spending trends, demonstrated need, and ASUC-Sponsorship criteria to further allocate ASUC fees towards ASUC-Sponsored RSOs; and,</w:t>
      </w:r>
    </w:p>
    <w:p w:rsidR="00000000" w:rsidDel="00000000" w:rsidP="00000000" w:rsidRDefault="00000000" w:rsidRPr="00000000" w14:paraId="0000000D">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ASUC Financial Services team has informed OCFO has throughout the budgeting process to align with internal controls and auditing procedures; and,</w:t>
      </w:r>
    </w:p>
    <w:p w:rsidR="00000000" w:rsidDel="00000000" w:rsidP="00000000" w:rsidRDefault="00000000" w:rsidRPr="00000000" w14:paraId="0000000E">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Senate Finance Committee have consulted with OCFO on initial allocations and reviewed appealed line items from RSOs; and,</w:t>
      </w:r>
    </w:p>
    <w:p w:rsidR="00000000" w:rsidDel="00000000" w:rsidP="00000000" w:rsidRDefault="00000000" w:rsidRPr="00000000" w14:paraId="0000000F">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Senate Governance &amp; Internal Affairs Committee have consulted with the Spaces Director and EVP on initial allocations and reviewed appealed line items from RSOs; and,</w:t>
      </w:r>
    </w:p>
    <w:p w:rsidR="00000000" w:rsidDel="00000000" w:rsidP="00000000" w:rsidRDefault="00000000" w:rsidRPr="00000000" w14:paraId="00000010">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Associated Students of the University of California approve the FY27 General Budget as proposed by the ASUC Chief Financial Officer, attached in Appendix A, and approve the Annual Spaces Allocations proposed by the Spaces Director, also attached in Appendix A; and,</w:t>
      </w:r>
    </w:p>
    <w:p w:rsidR="00000000" w:rsidDel="00000000" w:rsidP="00000000" w:rsidRDefault="00000000" w:rsidRPr="00000000" w14:paraId="00000011">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given the ASUC General Budget must be approved by a two-thirds vote of the Senate by the final day of the Spring 2026 semester, this resolution shall serve as approval of both the FY27 Annual Budget and the Annual Spaces allocation; and,</w:t>
      </w:r>
    </w:p>
    <w:p w:rsidR="00000000" w:rsidDel="00000000" w:rsidP="00000000" w:rsidRDefault="00000000" w:rsidRPr="00000000" w14:paraId="00000012">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no amendments shall be made to FY27 space allocation without the consultation of the ASUC Governance &amp; Internal Affairs Committee and the Spaces Director.</w:t>
      </w:r>
    </w:p>
    <w:p w:rsidR="00000000" w:rsidDel="00000000" w:rsidP="00000000" w:rsidRDefault="00000000" w:rsidRPr="00000000" w14:paraId="00000013">
      <w:pPr>
        <w:widowControl w:val="0"/>
        <w:spacing w:after="200" w:line="276"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no amendments shall be made to FY27 budget without the consultation of the ASUC Finance Committee and Chief Financial Officer.</w:t>
      </w:r>
    </w:p>
    <w:p w:rsidR="00000000" w:rsidDel="00000000" w:rsidP="00000000" w:rsidRDefault="00000000" w:rsidRPr="00000000" w14:paraId="00000014">
      <w:pPr>
        <w:widowControl w:val="0"/>
        <w:spacing w:after="200" w:line="276" w:lineRule="auto"/>
        <w:jc w:val="center"/>
        <w:rPr>
          <w:rFonts w:ascii="Cambria" w:cs="Cambria" w:eastAsia="Cambria" w:hAnsi="Cambria"/>
          <w:sz w:val="40"/>
          <w:szCs w:val="40"/>
        </w:rPr>
      </w:pPr>
      <w:r w:rsidDel="00000000" w:rsidR="00000000" w:rsidRPr="00000000">
        <w:rPr>
          <w:rFonts w:ascii="Cambria" w:cs="Cambria" w:eastAsia="Cambria" w:hAnsi="Cambria"/>
          <w:sz w:val="40"/>
          <w:szCs w:val="40"/>
          <w:rtl w:val="0"/>
        </w:rPr>
        <w:t xml:space="preserve">Appendix A</w:t>
      </w:r>
    </w:p>
    <w:p w:rsidR="00000000" w:rsidDel="00000000" w:rsidP="00000000" w:rsidRDefault="00000000" w:rsidRPr="00000000" w14:paraId="00000015">
      <w:pPr>
        <w:spacing w:after="200" w:line="276" w:lineRule="auto"/>
        <w:rPr>
          <w:rFonts w:ascii="Cambria" w:cs="Cambria" w:eastAsia="Cambria" w:hAnsi="Cambria"/>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jc w:val="center"/>
        <w:rPr>
          <w:rFonts w:ascii="Cambria" w:cs="Cambria" w:eastAsia="Cambria" w:hAnsi="Cambria"/>
          <w:sz w:val="28"/>
          <w:szCs w:val="28"/>
        </w:rPr>
      </w:pPr>
      <w:hyperlink r:id="rId8">
        <w:r w:rsidDel="00000000" w:rsidR="00000000" w:rsidRPr="00000000">
          <w:rPr>
            <w:rFonts w:ascii="Cambria" w:cs="Cambria" w:eastAsia="Cambria" w:hAnsi="Cambria"/>
            <w:color w:val="0000ee"/>
            <w:sz w:val="28"/>
            <w:szCs w:val="28"/>
            <w:u w:val="single"/>
            <w:rtl w:val="0"/>
          </w:rPr>
          <w:t xml:space="preserve">[ASUC] FY27 ASUC FINAL ABSA Allocations (Budget &amp; Spaces)</w:t>
        </w:r>
      </w:hyperlink>
      <w:r w:rsidDel="00000000" w:rsidR="00000000" w:rsidRPr="00000000">
        <w:rPr>
          <w:rtl w:val="0"/>
        </w:rPr>
      </w:r>
    </w:p>
    <w:p w:rsidR="00000000" w:rsidDel="00000000" w:rsidP="00000000" w:rsidRDefault="00000000" w:rsidRPr="00000000" w14:paraId="00000017">
      <w:pPr>
        <w:spacing w:after="200" w:line="276" w:lineRule="auto"/>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8">
      <w:pPr>
        <w:pageBreakBefore w:val="0"/>
        <w:jc w:val="center"/>
        <w:rPr>
          <w:rFonts w:ascii="Calibri" w:cs="Calibri" w:eastAsia="Calibri" w:hAnsi="Calibri"/>
          <w:b w:val="1"/>
          <w:bCs w:val="1"/>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0000ee"/>
            <w:sz w:val="20"/>
            <w:szCs w:val="20"/>
            <w:u w:val="single"/>
            <w:rtl w:val="0"/>
          </w:rPr>
          <w:t xml:space="preserve">2101 Budget &amp; General Finance </w:t>
        </w:r>
      </w:hyperlink>
      <w:r w:rsidDel="00000000" w:rsidR="00000000" w:rsidRPr="00000000">
        <w:rPr>
          <w:sz w:val="20"/>
          <w:szCs w:val="20"/>
          <w:rtl w:val="0"/>
        </w:rPr>
        <w:t xml:space="preserve"> §1.2</w:t>
      </w:r>
    </w:p>
  </w:footnote>
  <w:footnote w:id="1">
    <w:p w:rsidR="00000000" w:rsidDel="00000000" w:rsidP="00000000" w:rsidRDefault="00000000" w:rsidRPr="00000000" w14:paraId="0000001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0000ee"/>
            <w:sz w:val="20"/>
            <w:szCs w:val="20"/>
            <w:u w:val="single"/>
            <w:rtl w:val="0"/>
          </w:rPr>
          <w:t xml:space="preserve">ASUC Constitution</w:t>
        </w:r>
      </w:hyperlink>
      <w:r w:rsidDel="00000000" w:rsidR="00000000" w:rsidRPr="00000000">
        <w:rPr>
          <w:sz w:val="20"/>
          <w:szCs w:val="20"/>
          <w:rtl w:val="0"/>
        </w:rPr>
        <w:t xml:space="preserve"> Article III-B, Section 2</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ageBreakBefore w:val="0"/>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1A">
    <w:pPr>
      <w:pageBreakBefore w:val="0"/>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25/26-115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docs.google.com/spreadsheets/d/1qNIbHOG7bfHFaX4iLHgGpss-tUuGNy00HNd50HWglmw/edit?gid=0#gi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ZlFHDKBKojhkIIzTOUuB72pXsmsPI4VqJwVCZwPHLUg/edit" TargetMode="External"/><Relationship Id="rId2" Type="http://schemas.openxmlformats.org/officeDocument/2006/relationships/hyperlink" Target="https://docs.google.com/document/d/1Qk565835nTJFky68YxK6bwRzsPLE1zRjK0a1psF2_9o/edit#heading=h.e3i8jhegu5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