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440" w:left="1440" w:right="1440" w:header="0" w:footer="720"/>
          <w:pgNumType w:start="1"/>
        </w:sectPr>
      </w:pPr>
      <w:bookmarkStart w:colFirst="0" w:colLast="0" w:name="_euudelf34h1a" w:id="0"/>
      <w:bookmarkEnd w:id="0"/>
      <w:r w:rsidDel="00000000" w:rsidR="00000000" w:rsidRPr="00000000">
        <w:rPr>
          <w:rFonts w:ascii="Trebuchet MS" w:cs="Trebuchet MS" w:eastAsia="Trebuchet MS" w:hAnsi="Trebuchet MS"/>
          <w:b w:val="0"/>
          <w:bCs w:val="0"/>
          <w:i w:val="0"/>
          <w:iCs w:val="0"/>
          <w:smallCaps w:val="0"/>
          <w:strike w:val="0"/>
          <w:color w:val="000000"/>
          <w:sz w:val="42"/>
          <w:szCs w:val="42"/>
          <w:u w:val="none"/>
          <w:shd w:fill="auto" w:val="clear"/>
          <w:vertAlign w:val="baseline"/>
          <w:rtl w:val="0"/>
        </w:rPr>
        <w:t xml:space="preserve">Tab 1</w:t>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sz w:val="36"/>
          <w:szCs w:val="36"/>
          <w:rtl w:val="0"/>
        </w:rPr>
        <w:t xml:space="preserve">Senate Resolution No. 2025/2026-111</w: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Clarifying Sponsorship and Authorship in ASUC Resolutions</w:t>
      </w:r>
    </w:p>
    <w:p w:rsidR="00000000" w:rsidDel="00000000" w:rsidP="00000000" w:rsidRDefault="00000000" w:rsidRPr="00000000" w14:paraId="00000005">
      <w:pPr>
        <w:widowControl w:val="0"/>
        <w:spacing w:line="240" w:lineRule="auto"/>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7">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Colton Beardsley (ASUC Senator) </w:t>
      </w:r>
    </w:p>
    <w:p w:rsidR="00000000" w:rsidDel="00000000" w:rsidP="00000000" w:rsidRDefault="00000000" w:rsidRPr="00000000" w14:paraId="00000008">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designation of Primary Sponsors, Authors, and Cosponsors in ASUC resolutions is intended to distinguish between those who draft and introduce legislation and whose support carries significance; and,</w:t>
      </w:r>
    </w:p>
    <w:p w:rsidR="00000000" w:rsidDel="00000000" w:rsidP="00000000" w:rsidRDefault="00000000" w:rsidRPr="00000000" w14:paraId="00000009">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current practices have blurred these distinctions by including individual office members as Co-Sponsors despite their support being inherently assumed through their institutional role, unless they hold a separate and independently relevant position tied to the subject of the resolution; and,</w:t>
      </w:r>
    </w:p>
    <w:p w:rsidR="00000000" w:rsidDel="00000000" w:rsidP="00000000" w:rsidRDefault="00000000" w:rsidRPr="00000000" w14:paraId="0000000A">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this practice introduces redundancy within resolution headers and reduces the ability to clearly note stakeholders whose support reflects distinct institutional or political relevance to the subject at hand; and,</w:t>
      </w:r>
    </w:p>
    <w:p w:rsidR="00000000" w:rsidDel="00000000" w:rsidP="00000000" w:rsidRDefault="00000000" w:rsidRPr="00000000" w14:paraId="0000000B">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clarifying distinctions between author, cosponsors, and contributors would improve the clarity for those reviewing resolutions and the overall quality of such documents.</w:t>
      </w:r>
    </w:p>
    <w:p w:rsidR="00000000" w:rsidDel="00000000" w:rsidP="00000000" w:rsidRDefault="00000000" w:rsidRPr="00000000" w14:paraId="0000000C">
      <w:pPr>
        <w:widowControl w:val="0"/>
        <w:spacing w:after="200" w:line="240" w:lineRule="auto"/>
        <w:rPr>
          <w:rFonts w:ascii="Cambria" w:cs="Cambria" w:eastAsia="Cambria" w:hAnsi="Cambria"/>
        </w:rPr>
      </w:pPr>
      <w:bookmarkStart w:colFirst="0" w:colLast="0" w:name="_bvcajfhv2j1p" w:id="1"/>
      <w:bookmarkEnd w:id="1"/>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resolution template shall include an optional section titled “Staff Contributors" to recognize individuals from offices who assisted in drafting, research, or institutional support capacity; and,</w:t>
      </w:r>
    </w:p>
    <w:p w:rsidR="00000000" w:rsidDel="00000000" w:rsidP="00000000" w:rsidRDefault="00000000" w:rsidRPr="00000000" w14:paraId="0000000D">
      <w:pPr>
        <w:widowControl w:val="0"/>
        <w:spacing w:after="200" w:line="240" w:lineRule="auto"/>
        <w:rPr>
          <w:rFonts w:ascii="Cambria" w:cs="Cambria" w:eastAsia="Cambria" w:hAnsi="Cambria"/>
        </w:rPr>
      </w:pPr>
      <w:bookmarkStart w:colFirst="0" w:colLast="0" w:name="_bvcajfhv2j1p" w:id="1"/>
      <w:bookmarkEnd w:id="1"/>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that the “Co-Authors” sections shall be limited to no more than seven individuals who substantially drafted the resolution;</w:t>
      </w:r>
      <w:r w:rsidDel="00000000" w:rsidR="00000000" w:rsidRPr="00000000">
        <w:rPr>
          <w:rFonts w:ascii="Cambria" w:cs="Cambria" w:eastAsia="Cambria" w:hAnsi="Cambria"/>
          <w:rtl w:val="0"/>
        </w:rPr>
        <w:t xml:space="preserve"> and,</w:t>
      </w:r>
    </w:p>
    <w:p w:rsidR="00000000" w:rsidDel="00000000" w:rsidP="00000000" w:rsidRDefault="00000000" w:rsidRPr="00000000" w14:paraId="0000000E">
      <w:pPr>
        <w:widowControl w:val="0"/>
        <w:spacing w:after="200" w:line="240" w:lineRule="auto"/>
        <w:rPr>
          <w:rFonts w:ascii="Cambria" w:cs="Cambria" w:eastAsia="Cambria" w:hAnsi="Cambria"/>
        </w:rPr>
      </w:pPr>
      <w:bookmarkStart w:colFirst="0" w:colLast="0" w:name="_bvcajfhv2j1p" w:id="1"/>
      <w:bookmarkEnd w:id="1"/>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Co-Sponsor section shall be reserved for individuals who: (1) are eligible to serve as Primary Sponsors, (2) are directly affected by the subject of the resolution, or (3) hold positions of relevance or significance relevant to the matter addressed in the resolution; and,</w:t>
      </w:r>
    </w:p>
    <w:p w:rsidR="00000000" w:rsidDel="00000000" w:rsidP="00000000" w:rsidRDefault="00000000" w:rsidRPr="00000000" w14:paraId="0000000F">
      <w:pPr>
        <w:widowControl w:val="0"/>
        <w:spacing w:after="200" w:line="240" w:lineRule="auto"/>
        <w:rPr>
          <w:rFonts w:ascii="Cambria" w:cs="Cambria" w:eastAsia="Cambria" w:hAnsi="Cambria"/>
        </w:rPr>
      </w:pPr>
      <w:bookmarkStart w:colFirst="0" w:colLast="0" w:name="_bvcajfhv2j1p" w:id="1"/>
      <w:bookmarkEnd w:id="1"/>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Appendix A represents the official resolution template, and shall be updated to reflect these changes, standardizing the format for all resolutions moving forward.</w:t>
      </w:r>
    </w:p>
    <w:p w:rsidR="00000000" w:rsidDel="00000000" w:rsidP="00000000" w:rsidRDefault="00000000" w:rsidRPr="00000000" w14:paraId="00000010">
      <w:pPr>
        <w:widowControl w:val="0"/>
        <w:spacing w:after="200" w:line="240" w:lineRule="auto"/>
        <w:rPr>
          <w:rFonts w:ascii="Cambria" w:cs="Cambria" w:eastAsia="Cambria" w:hAnsi="Cambria"/>
        </w:rPr>
      </w:pPr>
      <w:bookmarkStart w:colFirst="0" w:colLast="0" w:name="_bvcajfhv2j1p" w:id="1"/>
      <w:bookmarkEnd w:id="1"/>
      <w:r w:rsidDel="00000000" w:rsidR="00000000" w:rsidRPr="00000000">
        <w:rPr>
          <w:rFonts w:ascii="Cambria" w:cs="Cambria" w:eastAsia="Cambria" w:hAnsi="Cambria"/>
          <w:b w:val="1"/>
          <w:bCs w:val="1"/>
          <w:rtl w:val="0"/>
        </w:rPr>
        <w:t xml:space="preserve">THEREFORE BE IT FINALLY RESOLVED</w:t>
      </w:r>
      <w:r w:rsidDel="00000000" w:rsidR="00000000" w:rsidRPr="00000000">
        <w:rPr>
          <w:rFonts w:ascii="Cambria" w:cs="Cambria" w:eastAsia="Cambria" w:hAnsi="Cambria"/>
          <w:rtl w:val="0"/>
        </w:rPr>
        <w:t xml:space="preserve">, that the provisions of this resolution shall take effect upon the adoption of the Advocacy Agenda for the 2026-2027 Senate term, with the Chief Legal Officer responsible for ensuring its proper implementation.</w:t>
      </w:r>
    </w:p>
    <w:p w:rsidR="00000000" w:rsidDel="00000000" w:rsidP="00000000" w:rsidRDefault="00000000" w:rsidRPr="00000000" w14:paraId="00000011">
      <w:pPr>
        <w:jc w:val="center"/>
        <w:rPr>
          <w:rFonts w:ascii="Cambria" w:cs="Cambria" w:eastAsia="Cambria" w:hAnsi="Cambria"/>
          <w:sz w:val="18"/>
          <w:szCs w:val="18"/>
        </w:rPr>
      </w:pPr>
      <w:r w:rsidDel="00000000" w:rsidR="00000000" w:rsidRPr="00000000">
        <w:rPr>
          <w:rtl w:val="0"/>
        </w:rPr>
      </w:r>
    </w:p>
    <w:p w:rsidR="00000000" w:rsidDel="00000000" w:rsidP="00000000" w:rsidRDefault="00000000" w:rsidRPr="00000000" w14:paraId="00000012">
      <w:pPr>
        <w:jc w:val="center"/>
        <w:rPr>
          <w:rFonts w:ascii="Cambria" w:cs="Cambria" w:eastAsia="Cambria" w:hAnsi="Cambria"/>
          <w:sz w:val="18"/>
          <w:szCs w:val="18"/>
        </w:rPr>
      </w:pPr>
      <w:r w:rsidDel="00000000" w:rsidR="00000000" w:rsidRPr="00000000">
        <w:rPr>
          <w:rtl w:val="0"/>
        </w:rPr>
      </w:r>
    </w:p>
    <w:p w:rsidR="00000000" w:rsidDel="00000000" w:rsidP="00000000" w:rsidRDefault="00000000" w:rsidRPr="00000000" w14:paraId="00000013">
      <w:pPr>
        <w:jc w:val="center"/>
        <w:rPr>
          <w:rFonts w:ascii="Cambria" w:cs="Cambria" w:eastAsia="Cambria" w:hAnsi="Cambria"/>
          <w:sz w:val="18"/>
          <w:szCs w:val="18"/>
        </w:rPr>
      </w:pPr>
      <w:r w:rsidDel="00000000" w:rsidR="00000000" w:rsidRPr="00000000">
        <w:rPr>
          <w:rtl w:val="0"/>
        </w:rPr>
      </w:r>
    </w:p>
    <w:p w:rsidR="00000000" w:rsidDel="00000000" w:rsidP="00000000" w:rsidRDefault="00000000" w:rsidRPr="00000000" w14:paraId="00000014">
      <w:pPr>
        <w:jc w:val="center"/>
        <w:rPr>
          <w:rFonts w:ascii="Cambria" w:cs="Cambria" w:eastAsia="Cambria" w:hAnsi="Cambria"/>
          <w:sz w:val="40"/>
          <w:szCs w:val="40"/>
        </w:rPr>
        <w:sectPr>
          <w:headerReference r:id="rId8" w:type="default"/>
          <w:footerReference r:id="rId9" w:type="default"/>
          <w:type w:val="nextPage"/>
          <w:pgSz w:h="15840" w:w="12240" w:orient="portrait"/>
          <w:pgMar w:bottom="1440" w:top="1440" w:left="1440" w:right="1440" w:header="0" w:footer="720"/>
          <w:pgNumType w:start="1"/>
        </w:sectPr>
      </w:pPr>
      <w:r w:rsidDel="00000000" w:rsidR="00000000" w:rsidRPr="00000000">
        <w:br w:type="page"/>
      </w:r>
      <w:r w:rsidDel="00000000" w:rsidR="00000000" w:rsidRPr="00000000">
        <w:rPr>
          <w:rtl w:val="0"/>
        </w:rPr>
      </w:r>
    </w:p>
    <w:p w:rsidR="00000000" w:rsidDel="00000000" w:rsidP="00000000" w:rsidRDefault="00000000" w:rsidRPr="00000000" w14:paraId="00000015">
      <w:pPr>
        <w:jc w:val="center"/>
        <w:rPr>
          <w:rFonts w:ascii="Cambria" w:cs="Cambria" w:eastAsia="Cambria" w:hAnsi="Cambria"/>
          <w:sz w:val="40"/>
          <w:szCs w:val="40"/>
        </w:rPr>
      </w:pPr>
      <w:r w:rsidDel="00000000" w:rsidR="00000000" w:rsidRPr="00000000">
        <w:rPr>
          <w:rFonts w:ascii="Cambria" w:cs="Cambria" w:eastAsia="Cambria" w:hAnsi="Cambria"/>
          <w:sz w:val="40"/>
          <w:szCs w:val="40"/>
          <w:rtl w:val="0"/>
        </w:rPr>
        <w:t xml:space="preserve">Appendix A</w:t>
      </w:r>
    </w:p>
    <w:p w:rsidR="00000000" w:rsidDel="00000000" w:rsidP="00000000" w:rsidRDefault="00000000" w:rsidRPr="00000000" w14:paraId="00000016">
      <w:pPr>
        <w:spacing w:after="2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1"/>
        <w:keepNext w:val="1"/>
        <w:keepLines w:val="1"/>
        <w:spacing w:before="200" w:lineRule="auto"/>
        <w:jc w:val="center"/>
        <w:rPr>
          <w:sz w:val="28"/>
          <w:szCs w:val="28"/>
        </w:rPr>
      </w:pPr>
      <w:bookmarkStart w:colFirst="0" w:colLast="0" w:name="_inu83ddt79sa" w:id="2"/>
      <w:bookmarkEnd w:id="2"/>
      <w:r w:rsidDel="00000000" w:rsidR="00000000" w:rsidRPr="00000000">
        <w:rPr>
          <w:sz w:val="28"/>
          <w:szCs w:val="28"/>
          <w:rtl w:val="0"/>
        </w:rPr>
        <w:t xml:space="preserve">The Official ASUC Resolution Template</w:t>
      </w:r>
    </w:p>
    <w:p w:rsidR="00000000" w:rsidDel="00000000" w:rsidP="00000000" w:rsidRDefault="00000000" w:rsidRPr="00000000" w14:paraId="00000018">
      <w:pPr>
        <w:spacing w:after="200" w:lineRule="auto"/>
        <w:rPr>
          <w:b w:val="1"/>
          <w:bCs w:val="1"/>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spacing w:before="200" w:lineRule="auto"/>
        <w:jc w:val="right"/>
        <w:rPr>
          <w:rFonts w:ascii="Cambria" w:cs="Cambria" w:eastAsia="Cambria" w:hAnsi="Cambria"/>
          <w:b w:val="1"/>
          <w:bCs w:val="1"/>
          <w:sz w:val="18"/>
          <w:szCs w:val="18"/>
        </w:rPr>
      </w:pPr>
      <w:r w:rsidDel="00000000" w:rsidR="00000000" w:rsidRPr="00000000">
        <w:rPr>
          <w:rtl w:val="0"/>
        </w:rPr>
        <w:tab/>
        <w:tab/>
        <w:tab/>
        <w:tab/>
        <w:tab/>
        <w:tab/>
        <w:t xml:space="preserve"> </w:t>
      </w:r>
      <w:r w:rsidDel="00000000" w:rsidR="00000000" w:rsidRPr="00000000">
        <w:rPr>
          <w:rFonts w:ascii="Cambria" w:cs="Cambria" w:eastAsia="Cambria" w:hAnsi="Cambria"/>
          <w:i w:val="1"/>
          <w:iCs w:val="1"/>
          <w:sz w:val="18"/>
          <w:szCs w:val="18"/>
          <w:rtl w:val="0"/>
        </w:rPr>
        <w:t xml:space="preserve">[In header] </w:t>
      </w: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1A">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Yr 1/Yr. 2-##</w:t>
      </w:r>
    </w:p>
    <w:p w:rsidR="00000000" w:rsidDel="00000000" w:rsidP="00000000" w:rsidRDefault="00000000" w:rsidRPr="00000000" w14:paraId="0000001B">
      <w:pPr>
        <w:spacing w:before="200" w:lineRule="auto"/>
        <w:rPr/>
        <w:sectPr>
          <w:headerReference r:id="rId10" w:type="default"/>
          <w:footerReference r:id="rId11" w:type="default"/>
          <w:type w:val="nextPage"/>
          <w:pgSz w:h="15840" w:w="12240" w:orient="portrait"/>
          <w:pgMar w:bottom="1440" w:top="1440" w:left="1440" w:right="1440" w:header="0" w:footer="720"/>
        </w:sectPr>
      </w:pPr>
      <w:r w:rsidDel="00000000" w:rsidR="00000000" w:rsidRPr="00000000">
        <w:rPr>
          <w:rtl w:val="0"/>
        </w:rPr>
      </w:r>
    </w:p>
    <w:p w:rsidR="00000000" w:rsidDel="00000000" w:rsidP="00000000" w:rsidRDefault="00000000" w:rsidRPr="00000000" w14:paraId="0000001C">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Pr>
        <w:drawing>
          <wp:inline distB="114300" distT="114300" distL="114300" distR="114300">
            <wp:extent cx="1757363" cy="1757363"/>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Yr. 1/Yr. 2 - ###</w:t>
      </w:r>
    </w:p>
    <w:p w:rsidR="00000000" w:rsidDel="00000000" w:rsidP="00000000" w:rsidRDefault="00000000" w:rsidRPr="00000000" w14:paraId="0000001E">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Addendum A: Resolution Template </w:t>
      </w:r>
    </w:p>
    <w:p w:rsidR="00000000" w:rsidDel="00000000" w:rsidP="00000000" w:rsidRDefault="00000000" w:rsidRPr="00000000" w14:paraId="0000001F">
      <w:pPr>
        <w:widowControl w:val="0"/>
        <w:spacing w:line="240" w:lineRule="auto"/>
        <w:jc w:val="center"/>
        <w:rPr>
          <w:rFonts w:ascii="Cambria" w:cs="Cambria" w:eastAsia="Cambria" w:hAnsi="Cambria"/>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Primary Sponsor </w:t>
      </w:r>
      <w:r w:rsidDel="00000000" w:rsidR="00000000" w:rsidRPr="00000000">
        <w:rPr>
          <w:rtl w:val="0"/>
        </w:rPr>
      </w:r>
    </w:p>
    <w:p w:rsidR="00000000" w:rsidDel="00000000" w:rsidP="00000000" w:rsidRDefault="00000000" w:rsidRPr="00000000" w14:paraId="00000021">
      <w:pPr>
        <w:widowControl w:val="0"/>
        <w:spacing w:after="200"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First Name Middle Initial. Last Name (ASUC Position) </w:t>
      </w:r>
    </w:p>
    <w:p w:rsidR="00000000" w:rsidDel="00000000" w:rsidP="00000000" w:rsidRDefault="00000000" w:rsidRPr="00000000" w14:paraId="00000022">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Co-Authors</w:t>
      </w:r>
    </w:p>
    <w:p w:rsidR="00000000" w:rsidDel="00000000" w:rsidP="00000000" w:rsidRDefault="00000000" w:rsidRPr="00000000" w14:paraId="00000023">
      <w:pPr>
        <w:widowControl w:val="0"/>
        <w:spacing w:after="200"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First Name Middle Initial. Last Name (ASUC Position)</w:t>
      </w:r>
    </w:p>
    <w:p w:rsidR="00000000" w:rsidDel="00000000" w:rsidP="00000000" w:rsidRDefault="00000000" w:rsidRPr="00000000" w14:paraId="00000024">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25">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First Name Middle Initial. Last Name (Position or Affiliation)</w:t>
      </w:r>
    </w:p>
    <w:p w:rsidR="00000000" w:rsidDel="00000000" w:rsidP="00000000" w:rsidRDefault="00000000" w:rsidRPr="00000000" w14:paraId="00000026">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7">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insert clause text here with context and/or supporting evidence necessary</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28">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insert clause text here with context and/or supporting evidence necessary; and, </w:t>
      </w:r>
    </w:p>
    <w:p w:rsidR="00000000" w:rsidDel="00000000" w:rsidP="00000000" w:rsidRDefault="00000000" w:rsidRPr="00000000" w14:paraId="00000029">
      <w:pPr>
        <w:widowControl w:val="0"/>
        <w:spacing w:after="200"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next whereas clause is an example of how to cite bylaws; and, </w:t>
      </w:r>
      <w:r w:rsidDel="00000000" w:rsidR="00000000" w:rsidRPr="00000000">
        <w:rPr>
          <w:rtl w:val="0"/>
        </w:rPr>
      </w:r>
    </w:p>
    <w:p w:rsidR="00000000" w:rsidDel="00000000" w:rsidP="00000000" w:rsidRDefault="00000000" w:rsidRPr="00000000" w14:paraId="0000002A">
      <w:pPr>
        <w:widowControl w:val="0"/>
        <w:spacing w:after="200" w:line="240" w:lineRule="auto"/>
        <w:rPr>
          <w:rFonts w:ascii="Cambria" w:cs="Cambria" w:eastAsia="Cambria" w:hAnsi="Cambria"/>
          <w:b w:val="1"/>
          <w:bCs w:val="1"/>
          <w:sz w:val="24"/>
          <w:szCs w:val="24"/>
        </w:rPr>
        <w:sectPr>
          <w:headerReference r:id="rId12" w:type="default"/>
          <w:footerReference r:id="rId13" w:type="default"/>
          <w:type w:val="continuous"/>
          <w:pgSz w:h="15840" w:w="12240" w:orient="portrait"/>
          <w:pgMar w:bottom="1440" w:top="1440" w:left="1440" w:right="1440" w:header="0" w:footer="720"/>
        </w:sectPr>
      </w:pPr>
      <w:r w:rsidDel="00000000" w:rsidR="00000000" w:rsidRPr="00000000">
        <w:rPr>
          <w:rFonts w:ascii="Cambria" w:cs="Cambria" w:eastAsia="Cambria" w:hAnsi="Cambria"/>
          <w:b w:val="1"/>
          <w:bCs w:val="1"/>
          <w:sz w:val="24"/>
          <w:szCs w:val="24"/>
          <w:rtl w:val="0"/>
        </w:rPr>
        <w:t xml:space="preserve">WHEREAS, </w:t>
      </w:r>
    </w:p>
    <w:p w:rsidR="00000000" w:rsidDel="00000000" w:rsidP="00000000" w:rsidRDefault="00000000" w:rsidRPr="00000000" w14:paraId="0000002B">
      <w:pPr>
        <w:widowControl w:val="0"/>
        <w:spacing w:after="200"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C">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 </w:t>
      </w:r>
      <w:r w:rsidDel="00000000" w:rsidR="00000000" w:rsidRPr="00000000">
        <w:rPr>
          <w:rFonts w:ascii="Cambria" w:cs="Cambria" w:eastAsia="Cambria" w:hAnsi="Cambria"/>
          <w:sz w:val="24"/>
          <w:szCs w:val="24"/>
          <w:rtl w:val="0"/>
        </w:rPr>
        <w:t xml:space="preserve">that the Associated Students of the University of California: </w:t>
      </w:r>
    </w:p>
    <w:p w:rsidR="00000000" w:rsidDel="00000000" w:rsidP="00000000" w:rsidRDefault="00000000" w:rsidRPr="00000000" w14:paraId="0000002D">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 the Associated Students of the University of California: </w:t>
      </w:r>
    </w:p>
    <w:p w:rsidR="00000000" w:rsidDel="00000000" w:rsidP="00000000" w:rsidRDefault="00000000" w:rsidRPr="00000000" w14:paraId="0000002E">
      <w:pPr>
        <w:widowControl w:val="0"/>
        <w:spacing w:after="200" w:line="240" w:lineRule="auto"/>
        <w:rPr>
          <w:rFonts w:ascii="Cambria" w:cs="Cambria" w:eastAsia="Cambria" w:hAnsi="Cambria"/>
          <w:sz w:val="40"/>
          <w:szCs w:val="40"/>
        </w:rPr>
      </w:pPr>
      <w:r w:rsidDel="00000000" w:rsidR="00000000" w:rsidRPr="00000000">
        <w:rPr>
          <w:rFonts w:ascii="Cambria" w:cs="Cambria" w:eastAsia="Cambria" w:hAnsi="Cambria"/>
          <w:b w:val="1"/>
          <w:bCs w:val="1"/>
          <w:sz w:val="24"/>
          <w:szCs w:val="24"/>
          <w:rtl w:val="0"/>
        </w:rPr>
        <w:t xml:space="preserve">THEREFORE BE IT FINALLY RESOLVED, </w:t>
      </w:r>
      <w:r w:rsidDel="00000000" w:rsidR="00000000" w:rsidRPr="00000000">
        <w:rPr>
          <w:rFonts w:ascii="Cambria" w:cs="Cambria" w:eastAsia="Cambria" w:hAnsi="Cambria"/>
          <w:sz w:val="24"/>
          <w:szCs w:val="24"/>
          <w:rtl w:val="0"/>
        </w:rPr>
        <w:t xml:space="preserve">that the Associated Students of the University of California:</w:t>
      </w:r>
      <w:r w:rsidDel="00000000" w:rsidR="00000000" w:rsidRPr="00000000">
        <w:rPr>
          <w:rtl w:val="0"/>
        </w:rPr>
      </w:r>
    </w:p>
    <w:p w:rsidR="00000000" w:rsidDel="00000000" w:rsidP="00000000" w:rsidRDefault="00000000" w:rsidRPr="00000000" w14:paraId="0000002F">
      <w:pPr>
        <w:jc w:val="center"/>
        <w:rPr>
          <w:rFonts w:ascii="Cambria" w:cs="Cambria" w:eastAsia="Cambria" w:hAnsi="Cambria"/>
          <w:i w:val="1"/>
          <w:iCs w:val="1"/>
          <w:sz w:val="40"/>
          <w:szCs w:val="40"/>
        </w:rPr>
      </w:pPr>
      <w:r w:rsidDel="00000000" w:rsidR="00000000" w:rsidRPr="00000000">
        <w:rPr>
          <w:rFonts w:ascii="Cambria" w:cs="Cambria" w:eastAsia="Cambria" w:hAnsi="Cambria"/>
          <w:i w:val="1"/>
          <w:iCs w:val="1"/>
          <w:sz w:val="24"/>
          <w:szCs w:val="24"/>
          <w:rtl w:val="0"/>
        </w:rPr>
        <w:t xml:space="preserve">[Insert Page Break] [If Necessary] </w:t>
      </w:r>
      <w:r w:rsidDel="00000000" w:rsidR="00000000" w:rsidRPr="00000000">
        <w:rPr>
          <w:rFonts w:ascii="Cambria" w:cs="Cambria" w:eastAsia="Cambria" w:hAnsi="Cambria"/>
          <w:sz w:val="40"/>
          <w:szCs w:val="40"/>
          <w:rtl w:val="0"/>
        </w:rPr>
        <w:t xml:space="preserve">Appendix </w:t>
      </w:r>
      <w:r w:rsidDel="00000000" w:rsidR="00000000" w:rsidRPr="00000000">
        <w:rPr>
          <w:rFonts w:ascii="Cambria" w:cs="Cambria" w:eastAsia="Cambria" w:hAnsi="Cambria"/>
          <w:i w:val="1"/>
          <w:iCs w:val="1"/>
          <w:sz w:val="40"/>
          <w:szCs w:val="40"/>
          <w:rtl w:val="0"/>
        </w:rPr>
        <w:t xml:space="preserve">#</w:t>
      </w:r>
    </w:p>
    <w:p w:rsidR="00000000" w:rsidDel="00000000" w:rsidP="00000000" w:rsidRDefault="00000000" w:rsidRPr="00000000" w14:paraId="00000030">
      <w:pPr>
        <w:spacing w:after="200" w:lineRule="auto"/>
        <w:rPr>
          <w:rFonts w:ascii="Cambria" w:cs="Cambria" w:eastAsia="Cambria" w:hAnsi="Cambria"/>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jc w:val="center"/>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Appendix Title</w:t>
      </w:r>
    </w:p>
    <w:p w:rsidR="00000000" w:rsidDel="00000000" w:rsidP="00000000" w:rsidRDefault="00000000" w:rsidRPr="00000000" w14:paraId="00000032">
      <w:pPr>
        <w:spacing w:after="2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jc w:val="center"/>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Appendix Content</w:t>
      </w:r>
      <w:r w:rsidDel="00000000" w:rsidR="00000000" w:rsidRPr="00000000">
        <w:br w:type="page"/>
      </w:r>
      <w:r w:rsidDel="00000000" w:rsidR="00000000" w:rsidRPr="00000000">
        <w:rPr>
          <w:rtl w:val="0"/>
        </w:rPr>
      </w:r>
    </w:p>
    <w:p w:rsidR="00000000" w:rsidDel="00000000" w:rsidP="00000000" w:rsidRDefault="00000000" w:rsidRPr="00000000" w14:paraId="00000034">
      <w:pPr>
        <w:pStyle w:val="Heading1"/>
        <w:keepNext w:val="1"/>
        <w:keepLines w:val="1"/>
        <w:widowControl w:val="0"/>
        <w:spacing w:after="0" w:line="240" w:lineRule="auto"/>
        <w:rPr>
          <w:rFonts w:ascii="Cambria" w:cs="Cambria" w:eastAsia="Cambria" w:hAnsi="Cambria"/>
          <w:color w:val="222222"/>
          <w:sz w:val="40"/>
          <w:szCs w:val="40"/>
        </w:rPr>
      </w:pPr>
      <w:bookmarkStart w:colFirst="0" w:colLast="0" w:name="_xhfji9f3o4fp" w:id="3"/>
      <w:bookmarkEnd w:id="3"/>
      <w:r w:rsidDel="00000000" w:rsidR="00000000" w:rsidRPr="00000000">
        <w:rPr>
          <w:rFonts w:ascii="Cambria" w:cs="Cambria" w:eastAsia="Cambria" w:hAnsi="Cambria"/>
          <w:color w:val="222222"/>
          <w:sz w:val="40"/>
          <w:szCs w:val="40"/>
          <w:rtl w:val="0"/>
        </w:rPr>
        <w:t xml:space="preserve">Appendix B: ASUCBL 1201</w:t>
      </w:r>
    </w:p>
    <w:p w:rsidR="00000000" w:rsidDel="00000000" w:rsidP="00000000" w:rsidRDefault="00000000" w:rsidRPr="00000000" w14:paraId="00000035">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6">
      <w:pPr>
        <w:widowControl w:val="0"/>
        <w:spacing w:line="240" w:lineRule="auto"/>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pStyle w:val="Heading1"/>
        <w:keepNext w:val="1"/>
        <w:keepLines w:val="1"/>
        <w:spacing w:before="200" w:lineRule="auto"/>
        <w:ind w:left="720"/>
        <w:jc w:val="center"/>
        <w:rPr>
          <w:sz w:val="28"/>
          <w:szCs w:val="28"/>
        </w:rPr>
      </w:pPr>
      <w:bookmarkStart w:colFirst="0" w:colLast="0" w:name="_dsu900js4ryd" w:id="4"/>
      <w:bookmarkEnd w:id="4"/>
      <w:r w:rsidDel="00000000" w:rsidR="00000000" w:rsidRPr="00000000">
        <w:rPr>
          <w:sz w:val="28"/>
          <w:szCs w:val="28"/>
          <w:rtl w:val="0"/>
        </w:rPr>
        <w:t xml:space="preserve">ASUCBL 1201: Senate Rules of Order</w:t>
      </w:r>
    </w:p>
    <w:p w:rsidR="00000000" w:rsidDel="00000000" w:rsidP="00000000" w:rsidRDefault="00000000" w:rsidRPr="00000000" w14:paraId="00000038">
      <w:pPr>
        <w:spacing w:after="100" w:lineRule="auto"/>
        <w:ind w:left="7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widowControl w:val="0"/>
        <w:spacing w:after="200" w:lineRule="auto"/>
        <w:ind w:left="720" w:right="140"/>
        <w:rPr/>
      </w:pPr>
      <w:r w:rsidDel="00000000" w:rsidR="00000000" w:rsidRPr="00000000">
        <w:rPr>
          <w:rtl w:val="0"/>
        </w:rPr>
        <w:t xml:space="preserve">[...]</w:t>
      </w:r>
    </w:p>
    <w:p w:rsidR="00000000" w:rsidDel="00000000" w:rsidP="00000000" w:rsidRDefault="00000000" w:rsidRPr="00000000" w14:paraId="0000003A">
      <w:pPr>
        <w:pStyle w:val="Heading1"/>
        <w:rPr/>
      </w:pPr>
      <w:bookmarkStart w:colFirst="0" w:colLast="0" w:name="_2cjqysas0l2p" w:id="5"/>
      <w:bookmarkEnd w:id="5"/>
      <w:r w:rsidDel="00000000" w:rsidR="00000000" w:rsidRPr="00000000">
        <w:rPr>
          <w:rtl w:val="0"/>
        </w:rPr>
        <w:t xml:space="preserve">Section 9: Motions</w:t>
      </w:r>
      <w:r w:rsidDel="00000000" w:rsidR="00000000" w:rsidRPr="00000000">
        <w:rPr>
          <w:rtl w:val="0"/>
        </w:rPr>
      </w:r>
    </w:p>
    <w:p w:rsidR="00000000" w:rsidDel="00000000" w:rsidP="00000000" w:rsidRDefault="00000000" w:rsidRPr="00000000" w14:paraId="0000003B">
      <w:pPr>
        <w:spacing w:after="200" w:lineRule="auto"/>
        <w:ind w:left="720"/>
        <w:rPr/>
      </w:pPr>
      <w:r w:rsidDel="00000000" w:rsidR="00000000" w:rsidRPr="00000000">
        <w:rPr>
          <w:rtl w:val="0"/>
        </w:rPr>
        <w:t xml:space="preserve">9.1</w:t>
        <w:tab/>
        <w:t xml:space="preserve">Any original main motion shall be in the form of a resolution. Each resolution shall include:</w:t>
      </w:r>
    </w:p>
    <w:p w:rsidR="00000000" w:rsidDel="00000000" w:rsidP="00000000" w:rsidRDefault="00000000" w:rsidRPr="00000000" w14:paraId="0000003C">
      <w:pPr>
        <w:spacing w:after="200" w:lineRule="auto"/>
        <w:ind w:left="720"/>
        <w:rPr/>
      </w:pPr>
      <w:r w:rsidDel="00000000" w:rsidR="00000000" w:rsidRPr="00000000">
        <w:rPr>
          <w:rtl w:val="0"/>
        </w:rPr>
        <w:tab/>
        <w:t xml:space="preserve">9.1.1</w:t>
        <w:tab/>
        <w:t xml:space="preserve">A short title.</w:t>
      </w:r>
    </w:p>
    <w:p w:rsidR="00000000" w:rsidDel="00000000" w:rsidP="00000000" w:rsidRDefault="00000000" w:rsidRPr="00000000" w14:paraId="0000003D">
      <w:pPr>
        <w:spacing w:after="200" w:lineRule="auto"/>
        <w:ind w:left="720"/>
        <w:rPr/>
      </w:pPr>
      <w:r w:rsidDel="00000000" w:rsidR="00000000" w:rsidRPr="00000000">
        <w:rPr>
          <w:rtl w:val="0"/>
        </w:rPr>
        <w:tab/>
        <w:t xml:space="preserve">9.1.2</w:t>
        <w:tab/>
        <w:t xml:space="preserve">Session in which the main motion was introduced.</w:t>
      </w:r>
    </w:p>
    <w:p w:rsidR="00000000" w:rsidDel="00000000" w:rsidP="00000000" w:rsidRDefault="00000000" w:rsidRPr="00000000" w14:paraId="0000003E">
      <w:pPr>
        <w:spacing w:after="200" w:lineRule="auto"/>
        <w:ind w:left="1440" w:hanging="720"/>
        <w:rPr/>
      </w:pPr>
      <w:r w:rsidDel="00000000" w:rsidR="00000000" w:rsidRPr="00000000">
        <w:rPr>
          <w:rtl w:val="0"/>
        </w:rPr>
        <w:t xml:space="preserve">9.1.3</w:t>
        <w:tab/>
        <w:t xml:space="preserve">The name(s) of the primary sponsor(s) who is the person(s) who introduced the main motion. The primary sponsor may be one</w:t>
      </w:r>
      <w:r w:rsidDel="00000000" w:rsidR="00000000" w:rsidRPr="00000000">
        <w:rPr>
          <w:strike w:val="1"/>
          <w:rtl w:val="0"/>
        </w:rPr>
        <w:t xml:space="preserve">, two, or three several</w:t>
      </w:r>
      <w:r w:rsidDel="00000000" w:rsidR="00000000" w:rsidRPr="00000000">
        <w:rPr>
          <w:rtl w:val="0"/>
        </w:rPr>
        <w:t xml:space="preserve"> </w:t>
      </w:r>
      <w:r w:rsidDel="00000000" w:rsidR="00000000" w:rsidRPr="00000000">
        <w:rPr>
          <w:u w:val="single"/>
          <w:rtl w:val="0"/>
        </w:rPr>
        <w:t xml:space="preserve">or more</w:t>
      </w:r>
      <w:r w:rsidDel="00000000" w:rsidR="00000000" w:rsidRPr="00000000">
        <w:rPr>
          <w:rtl w:val="0"/>
        </w:rPr>
        <w:t xml:space="preserve"> of the persons listed in §6.</w:t>
      </w:r>
    </w:p>
    <w:p w:rsidR="00000000" w:rsidDel="00000000" w:rsidP="00000000" w:rsidRDefault="00000000" w:rsidRPr="00000000" w14:paraId="0000003F">
      <w:pPr>
        <w:spacing w:after="200" w:lineRule="auto"/>
        <w:ind w:left="2160" w:hanging="720"/>
        <w:rPr/>
      </w:pPr>
      <w:r w:rsidDel="00000000" w:rsidR="00000000" w:rsidRPr="00000000">
        <w:rPr>
          <w:rtl w:val="0"/>
        </w:rPr>
        <w:t xml:space="preserve">9.1.3.1</w:t>
        <w:tab/>
        <w:t xml:space="preserve">Should any other section refer to a singular primary sponsor for procedural or incidental matters (ie; initiating debate), the primary sponsors shall nominate one among them to be responsible for the duties of that section.</w:t>
      </w:r>
    </w:p>
    <w:p w:rsidR="00000000" w:rsidDel="00000000" w:rsidP="00000000" w:rsidRDefault="00000000" w:rsidRPr="00000000" w14:paraId="00000040">
      <w:pPr>
        <w:spacing w:after="200" w:lineRule="auto"/>
        <w:ind w:left="1440" w:hanging="720"/>
        <w:rPr>
          <w:strike w:val="1"/>
        </w:rPr>
      </w:pPr>
      <w:r w:rsidDel="00000000" w:rsidR="00000000" w:rsidRPr="00000000">
        <w:rPr>
          <w:rtl w:val="0"/>
        </w:rPr>
        <w:t xml:space="preserve">9.1.4</w:t>
        <w:tab/>
        <w:t xml:space="preserve">The names of any</w:t>
      </w:r>
      <w:r w:rsidDel="00000000" w:rsidR="00000000" w:rsidRPr="00000000">
        <w:rPr>
          <w:rtl w:val="0"/>
        </w:rPr>
        <w:t xml:space="preserve"> </w:t>
      </w:r>
      <w:r w:rsidDel="00000000" w:rsidR="00000000" w:rsidRPr="00000000">
        <w:rPr>
          <w:u w:val="single"/>
          <w:rtl w:val="0"/>
        </w:rPr>
        <w:t xml:space="preserve">Co-Authors, which shall be limited to no more than seven individuals who substantially drafted the text.</w:t>
      </w:r>
      <w:r w:rsidDel="00000000" w:rsidR="00000000" w:rsidRPr="00000000">
        <w:rPr>
          <w:u w:val="single"/>
          <w:rtl w:val="0"/>
        </w:rPr>
        <w:t xml:space="preserve"> </w:t>
      </w:r>
      <w:r w:rsidDel="00000000" w:rsidR="00000000" w:rsidRPr="00000000">
        <w:rPr>
          <w:strike w:val="1"/>
          <w:rtl w:val="0"/>
        </w:rPr>
        <w:t xml:space="preserve">which may be any member of the Association, body or unit of the Association, or organization sponsored by the Association.</w:t>
      </w:r>
      <w:r w:rsidDel="00000000" w:rsidR="00000000" w:rsidRPr="00000000">
        <w:rPr>
          <w:rtl w:val="0"/>
        </w:rPr>
      </w:r>
    </w:p>
    <w:p w:rsidR="00000000" w:rsidDel="00000000" w:rsidP="00000000" w:rsidRDefault="00000000" w:rsidRPr="00000000" w14:paraId="00000041">
      <w:pPr>
        <w:spacing w:after="200" w:lineRule="auto"/>
        <w:ind w:left="1440" w:hanging="720"/>
        <w:rPr>
          <w:strike w:val="1"/>
        </w:rPr>
      </w:pPr>
      <w:r w:rsidDel="00000000" w:rsidR="00000000" w:rsidRPr="00000000">
        <w:rPr>
          <w:rtl w:val="0"/>
        </w:rPr>
        <w:t xml:space="preserve">9.1.5</w:t>
        <w:tab/>
        <w:t xml:space="preserve">The name of </w:t>
      </w:r>
      <w:r w:rsidDel="00000000" w:rsidR="00000000" w:rsidRPr="00000000">
        <w:rPr>
          <w:u w:val="single"/>
          <w:rtl w:val="0"/>
        </w:rPr>
        <w:t xml:space="preserve">any Co-Sponsors, which may be individuals or groups who either (1) are eligible to serve as primary sponsors, (2) are directly affected by the subject of the resolution, or (3) hold positions of relevance to the matter being addressed. </w:t>
      </w:r>
      <w:r w:rsidDel="00000000" w:rsidR="00000000" w:rsidRPr="00000000">
        <w:rPr>
          <w:strike w:val="1"/>
          <w:rtl w:val="0"/>
        </w:rPr>
        <w:t xml:space="preserve">the person(s) or group(s) who drafted the resolution.</w:t>
      </w:r>
    </w:p>
    <w:p w:rsidR="00000000" w:rsidDel="00000000" w:rsidP="00000000" w:rsidRDefault="00000000" w:rsidRPr="00000000" w14:paraId="00000042">
      <w:pPr>
        <w:spacing w:after="200" w:lineRule="auto"/>
        <w:ind w:left="1440" w:hanging="720"/>
        <w:rPr/>
      </w:pPr>
      <w:r w:rsidDel="00000000" w:rsidR="00000000" w:rsidRPr="00000000">
        <w:rPr>
          <w:rtl w:val="0"/>
        </w:rPr>
        <w:t xml:space="preserve">9.1.6</w:t>
        <w:tab/>
        <w:t xml:space="preserve">An enactment clause in the form “Therefore be it resolved that the Associated Students of the University of California” followed by the binding clauses of the main motion. Each resolved clause shall be numbered sequentially.</w:t>
      </w:r>
    </w:p>
    <w:p w:rsidR="00000000" w:rsidDel="00000000" w:rsidP="00000000" w:rsidRDefault="00000000" w:rsidRPr="00000000" w14:paraId="00000043">
      <w:pPr>
        <w:spacing w:after="200" w:lineRule="auto"/>
        <w:ind w:left="1440" w:hanging="720"/>
        <w:rPr/>
      </w:pPr>
      <w:r w:rsidDel="00000000" w:rsidR="00000000" w:rsidRPr="00000000">
        <w:rPr>
          <w:rtl w:val="0"/>
        </w:rPr>
        <w:t xml:space="preserve">9.1.7</w:t>
        <w:tab/>
        <w:t xml:space="preserve">Optionally, a preamble of non-binding whereas clauses establishing the context for the resolved clauses.</w:t>
      </w:r>
    </w:p>
    <w:p w:rsidR="00000000" w:rsidDel="00000000" w:rsidP="00000000" w:rsidRDefault="00000000" w:rsidRPr="00000000" w14:paraId="00000044">
      <w:pPr>
        <w:spacing w:after="200" w:lineRule="auto"/>
        <w:ind w:left="1440" w:hanging="720"/>
        <w:rPr/>
      </w:pPr>
      <w:r w:rsidDel="00000000" w:rsidR="00000000" w:rsidRPr="00000000">
        <w:rPr>
          <w:rtl w:val="0"/>
        </w:rPr>
        <w:t xml:space="preserve">9.1.8</w:t>
        <w:tab/>
        <w:t xml:space="preserve">A number which shall be assigned to each new original main motion by the Admin Office. These numbers shall be sequential for each session.</w:t>
      </w:r>
    </w:p>
    <w:p w:rsidR="00000000" w:rsidDel="00000000" w:rsidP="00000000" w:rsidRDefault="00000000" w:rsidRPr="00000000" w14:paraId="00000045">
      <w:pPr>
        <w:spacing w:after="200" w:lineRule="auto"/>
        <w:ind w:left="1440" w:hanging="720"/>
        <w:rPr/>
      </w:pPr>
      <w:r w:rsidDel="00000000" w:rsidR="00000000" w:rsidRPr="00000000">
        <w:rPr>
          <w:rtl w:val="0"/>
        </w:rPr>
        <w:t xml:space="preserve">9.1.9 </w:t>
        <w:tab/>
        <w:t xml:space="preserve">Resolutions shall be restricted to one subject only.</w:t>
      </w:r>
    </w:p>
    <w:p w:rsidR="00000000" w:rsidDel="00000000" w:rsidP="00000000" w:rsidRDefault="00000000" w:rsidRPr="00000000" w14:paraId="00000046">
      <w:pPr>
        <w:spacing w:after="200" w:lineRule="auto"/>
        <w:ind w:left="1440" w:hanging="720"/>
        <w:rPr/>
      </w:pPr>
      <w:r w:rsidDel="00000000" w:rsidR="00000000" w:rsidRPr="00000000">
        <w:rPr>
          <w:rtl w:val="0"/>
        </w:rPr>
        <w:t xml:space="preserve">9.1.10</w:t>
        <w:tab/>
      </w:r>
      <w:r w:rsidDel="00000000" w:rsidR="00000000" w:rsidRPr="00000000">
        <w:rPr>
          <w:u w:val="single"/>
          <w:rtl w:val="0"/>
        </w:rPr>
        <w:t xml:space="preserve">Optionally, staff members of a primary sponsor’s office may be recognized in an optional “Staff Contributors" section or via a footnote attribution.</w:t>
      </w:r>
      <w:r w:rsidDel="00000000" w:rsidR="00000000" w:rsidRPr="00000000">
        <w:rPr>
          <w:rtl w:val="0"/>
        </w:rPr>
        <w:t xml:space="preserve"> </w:t>
      </w:r>
    </w:p>
    <w:p w:rsidR="00000000" w:rsidDel="00000000" w:rsidP="00000000" w:rsidRDefault="00000000" w:rsidRPr="00000000" w14:paraId="00000047">
      <w:pPr>
        <w:spacing w:after="200" w:lineRule="auto"/>
        <w:ind w:left="720"/>
        <w:rPr/>
      </w:pPr>
      <w:r w:rsidDel="00000000" w:rsidR="00000000" w:rsidRPr="00000000">
        <w:rPr>
          <w:rtl w:val="0"/>
        </w:rPr>
        <w:t xml:space="preserve">9.2</w:t>
        <w:tab/>
        <w:t xml:space="preserve">Motions may be amended given that:</w:t>
      </w:r>
    </w:p>
    <w:p w:rsidR="00000000" w:rsidDel="00000000" w:rsidP="00000000" w:rsidRDefault="00000000" w:rsidRPr="00000000" w14:paraId="00000048">
      <w:pPr>
        <w:spacing w:after="200" w:lineRule="auto"/>
        <w:ind w:firstLine="720"/>
        <w:rPr/>
      </w:pPr>
      <w:r w:rsidDel="00000000" w:rsidR="00000000" w:rsidRPr="00000000">
        <w:rPr>
          <w:rtl w:val="0"/>
        </w:rPr>
        <w:t xml:space="preserve">9.2.1</w:t>
        <w:tab/>
        <w:t xml:space="preserve">All amendments to a motion must be germane to the topic of the motion.</w:t>
      </w:r>
    </w:p>
    <w:p w:rsidR="00000000" w:rsidDel="00000000" w:rsidP="00000000" w:rsidRDefault="00000000" w:rsidRPr="00000000" w14:paraId="00000049">
      <w:pPr>
        <w:spacing w:after="200" w:lineRule="auto"/>
        <w:ind w:left="1440" w:hanging="720"/>
        <w:rPr/>
      </w:pPr>
      <w:r w:rsidDel="00000000" w:rsidR="00000000" w:rsidRPr="00000000">
        <w:rPr>
          <w:rtl w:val="0"/>
        </w:rPr>
        <w:t xml:space="preserve">9.2.2</w:t>
        <w:tab/>
        <w:t xml:space="preserve">Any amendment to a Resolved clause that specifies a numerical financial amount must use Robert’s Rules “filling blanks” procedure, from low to high. This requirement may be waived by a two-thirds vote.</w:t>
      </w:r>
    </w:p>
    <w:p w:rsidR="00000000" w:rsidDel="00000000" w:rsidP="00000000" w:rsidRDefault="00000000" w:rsidRPr="00000000" w14:paraId="0000004A">
      <w:pPr>
        <w:spacing w:after="200" w:lineRule="auto"/>
        <w:ind w:left="1440" w:hanging="720"/>
        <w:rPr/>
      </w:pPr>
      <w:r w:rsidDel="00000000" w:rsidR="00000000" w:rsidRPr="00000000">
        <w:rPr>
          <w:rtl w:val="0"/>
        </w:rPr>
        <w:t xml:space="preserve">9.2.3</w:t>
      </w:r>
      <w:r w:rsidDel="00000000" w:rsidR="00000000" w:rsidRPr="00000000">
        <w:rPr>
          <w:strike w:val="1"/>
          <w:rtl w:val="0"/>
        </w:rPr>
        <w:tab/>
      </w:r>
      <w:r w:rsidDel="00000000" w:rsidR="00000000" w:rsidRPr="00000000">
        <w:rPr>
          <w:rtl w:val="0"/>
        </w:rPr>
        <w:t xml:space="preserve">So called “friendly amendments” shall only be allowed by unanimous consent, but if objected to, the same amendment may be offered through the regular process.</w:t>
      </w:r>
    </w:p>
    <w:p w:rsidR="00000000" w:rsidDel="00000000" w:rsidP="00000000" w:rsidRDefault="00000000" w:rsidRPr="00000000" w14:paraId="0000004B">
      <w:pPr>
        <w:spacing w:after="200" w:lineRule="auto"/>
        <w:ind w:left="720"/>
        <w:rPr/>
      </w:pPr>
      <w:r w:rsidDel="00000000" w:rsidR="00000000" w:rsidRPr="00000000">
        <w:rPr>
          <w:rtl w:val="0"/>
        </w:rPr>
        <w:t xml:space="preserve">9.3</w:t>
        <w:tab/>
        <w:t xml:space="preserve">In accordance with the Constitution, no final vote may be taken on any original main motion by the Senate unless and until that motion has been publicly posted and noticed for at least one week.</w:t>
      </w:r>
    </w:p>
    <w:p w:rsidR="00000000" w:rsidDel="00000000" w:rsidP="00000000" w:rsidRDefault="00000000" w:rsidRPr="00000000" w14:paraId="0000004C">
      <w:pPr>
        <w:spacing w:after="200" w:lineRule="auto"/>
        <w:ind w:left="1440" w:hanging="720"/>
        <w:rPr/>
      </w:pPr>
      <w:r w:rsidDel="00000000" w:rsidR="00000000" w:rsidRPr="00000000">
        <w:rPr>
          <w:rtl w:val="0"/>
        </w:rPr>
        <w:t xml:space="preserve">9.3.1</w:t>
        <w:tab/>
        <w:t xml:space="preserve">Public posting and notice shall be defined as the introduction of a main motion as new business at a Senate meeting at least one week prior to voting or the posting of the call for a special meeting and text of the motion at least one week prior to voting. Notice is not required to introduce a motion, only to vote on it.</w:t>
      </w:r>
    </w:p>
    <w:p w:rsidR="00000000" w:rsidDel="00000000" w:rsidP="00000000" w:rsidRDefault="00000000" w:rsidRPr="00000000" w14:paraId="0000004D">
      <w:pPr>
        <w:spacing w:after="200" w:lineRule="auto"/>
        <w:ind w:left="1440" w:hanging="720"/>
        <w:rPr/>
      </w:pPr>
      <w:r w:rsidDel="00000000" w:rsidR="00000000" w:rsidRPr="00000000">
        <w:rPr>
          <w:rtl w:val="0"/>
        </w:rPr>
        <w:t xml:space="preserve">9.3.2 </w:t>
        <w:tab/>
        <w:t xml:space="preserve">The posting of a version of a motion which is then significantly rewritten to change its core substance, shall not fulfill the constitutional notice requirement. “Changing the core substance” shall not be construed to mean directly reversing the effect of the motion (e.g. a motion to support something being changed to oppose the same thing).</w:t>
      </w:r>
    </w:p>
    <w:p w:rsidR="00000000" w:rsidDel="00000000" w:rsidP="00000000" w:rsidRDefault="00000000" w:rsidRPr="00000000" w14:paraId="0000004E">
      <w:pPr>
        <w:spacing w:after="200" w:lineRule="auto"/>
        <w:ind w:left="1440" w:hanging="720"/>
        <w:rPr/>
      </w:pPr>
      <w:r w:rsidDel="00000000" w:rsidR="00000000" w:rsidRPr="00000000">
        <w:rPr>
          <w:rtl w:val="0"/>
        </w:rPr>
        <w:t xml:space="preserve">9.3.3</w:t>
        <w:tab/>
        <w:t xml:space="preserve">Per the Constitution, this requirement may be waived by two-thirds vote of the entire membership of the Senate in the case of emergency situations involving matters upon which prompt action is urgent and necessary to maintain the functioning of the ASUC.</w:t>
      </w:r>
    </w:p>
    <w:p w:rsidR="00000000" w:rsidDel="00000000" w:rsidP="00000000" w:rsidRDefault="00000000" w:rsidRPr="00000000" w14:paraId="0000004F">
      <w:pPr>
        <w:spacing w:after="200" w:lineRule="auto"/>
        <w:ind w:left="720"/>
        <w:rPr/>
      </w:pPr>
      <w:r w:rsidDel="00000000" w:rsidR="00000000" w:rsidRPr="00000000">
        <w:rPr>
          <w:rtl w:val="0"/>
        </w:rPr>
        <w:t xml:space="preserve">9.4</w:t>
        <w:tab/>
        <w:t xml:space="preserve">The authoritative text of any motion or record shall be as enrolled and approved in the minutes of the Senate. </w:t>
      </w:r>
    </w:p>
    <w:p w:rsidR="00000000" w:rsidDel="00000000" w:rsidP="00000000" w:rsidRDefault="00000000" w:rsidRPr="00000000" w14:paraId="00000050">
      <w:pPr>
        <w:spacing w:after="200" w:lineRule="auto"/>
        <w:ind w:left="720"/>
        <w:rPr/>
      </w:pPr>
      <w:r w:rsidDel="00000000" w:rsidR="00000000" w:rsidRPr="00000000">
        <w:rPr>
          <w:rtl w:val="0"/>
        </w:rPr>
        <w:t xml:space="preserve">9.5</w:t>
        <w:tab/>
        <w:t xml:space="preserve">The Admin Office shall maintain a publicly accessible system by which the current status and language of any original main motion may be seen. The system is encouraged to also allow members of the public to easily track historical changes of any main motion.</w:t>
      </w:r>
    </w:p>
    <w:p w:rsidR="00000000" w:rsidDel="00000000" w:rsidP="00000000" w:rsidRDefault="00000000" w:rsidRPr="00000000" w14:paraId="00000051">
      <w:pPr>
        <w:spacing w:after="200" w:lineRule="auto"/>
        <w:ind w:left="720"/>
        <w:rPr>
          <w:strike w:val="1"/>
        </w:rPr>
      </w:pPr>
      <w:r w:rsidDel="00000000" w:rsidR="00000000" w:rsidRPr="00000000">
        <w:rPr>
          <w:rtl w:val="0"/>
        </w:rPr>
        <w:t xml:space="preserve">9.6</w:t>
        <w:tab/>
        <w:t xml:space="preserve">Substantive original main motions shall become effective pursuant to Article III-A, Section 10 of the Constitution, given the Senate may specify a delayed effective date. Other motions shall become effective immediately, unless the Senate specifies a later effective date. No original main motion shall be formally deemed passed until the adjournment of the meeting at which it passed.</w:t>
      </w:r>
      <w:r w:rsidDel="00000000" w:rsidR="00000000" w:rsidRPr="00000000">
        <w:rPr>
          <w:rtl w:val="0"/>
        </w:rPr>
      </w:r>
    </w:p>
    <w:p w:rsidR="00000000" w:rsidDel="00000000" w:rsidP="00000000" w:rsidRDefault="00000000" w:rsidRPr="00000000" w14:paraId="00000052">
      <w:pPr>
        <w:spacing w:after="200" w:lineRule="auto"/>
        <w:ind w:left="720"/>
        <w:rPr/>
      </w:pPr>
      <w:r w:rsidDel="00000000" w:rsidR="00000000" w:rsidRPr="00000000">
        <w:rPr>
          <w:rtl w:val="0"/>
        </w:rPr>
        <w:t xml:space="preserve">9.7</w:t>
        <w:tab/>
        <w:t xml:space="preserve">Blank resolutions/motions may not be introduced as new business. The posting of a blank resolution shall not fulfill the constitutionally required public posting period. “Blank resolutions” shall be defined to include those with substantial placeholder text.</w:t>
      </w:r>
    </w:p>
    <w:p w:rsidR="00000000" w:rsidDel="00000000" w:rsidP="00000000" w:rsidRDefault="00000000" w:rsidRPr="00000000" w14:paraId="00000053">
      <w:pPr>
        <w:spacing w:after="200" w:lineRule="auto"/>
        <w:ind w:left="720"/>
        <w:rPr/>
      </w:pPr>
      <w:r w:rsidDel="00000000" w:rsidR="00000000" w:rsidRPr="00000000">
        <w:rPr>
          <w:rtl w:val="0"/>
        </w:rPr>
        <w:t xml:space="preserve">9.8</w:t>
        <w:tab/>
        <w:t xml:space="preserve">Motions shall be differentiated as original main motions versus incidental main motions in accordance with </w:t>
      </w:r>
      <w:r w:rsidDel="00000000" w:rsidR="00000000" w:rsidRPr="00000000">
        <w:rPr>
          <w:i w:val="1"/>
          <w:iCs w:val="1"/>
          <w:rtl w:val="0"/>
        </w:rPr>
        <w:t xml:space="preserve">Robert’s Rules of Order</w:t>
      </w:r>
      <w:r w:rsidDel="00000000" w:rsidR="00000000" w:rsidRPr="00000000">
        <w:rPr>
          <w:rtl w:val="0"/>
        </w:rPr>
        <w:t xml:space="preserve">, except as otherwise provided in the Constitution or Bylaws. For the purposes of the veto clause in the Constitution, “substantive main motion” shall be defined as any original motion motion, unless otherwise stated for in the Bylaws. Incidental main motions shall not be considered “substantive main motions”.</w:t>
      </w:r>
    </w:p>
    <w:p w:rsidR="00000000" w:rsidDel="00000000" w:rsidP="00000000" w:rsidRDefault="00000000" w:rsidRPr="00000000" w14:paraId="00000054">
      <w:pPr>
        <w:spacing w:after="200" w:lineRule="auto"/>
        <w:ind w:left="720"/>
        <w:rPr/>
      </w:pPr>
      <w:r w:rsidDel="00000000" w:rsidR="00000000" w:rsidRPr="00000000">
        <w:rPr>
          <w:rtl w:val="0"/>
        </w:rPr>
        <w:t xml:space="preserve">9.9</w:t>
        <w:tab/>
        <w:t xml:space="preserve">Unless waived by a two-thirds vote, the limitations on the renewal of motions as stated in </w:t>
      </w:r>
      <w:r w:rsidDel="00000000" w:rsidR="00000000" w:rsidRPr="00000000">
        <w:rPr>
          <w:i w:val="1"/>
          <w:iCs w:val="1"/>
          <w:rtl w:val="0"/>
        </w:rPr>
        <w:t xml:space="preserve">Robert’s Rules of Order</w:t>
      </w:r>
      <w:r w:rsidDel="00000000" w:rsidR="00000000" w:rsidRPr="00000000">
        <w:rPr>
          <w:rtl w:val="0"/>
        </w:rPr>
        <w:t xml:space="preserve"> shall apply throughout the entire session to the introduction of motions and to making nominations to fill offices.</w:t>
      </w:r>
    </w:p>
    <w:p w:rsidR="00000000" w:rsidDel="00000000" w:rsidP="00000000" w:rsidRDefault="00000000" w:rsidRPr="00000000" w14:paraId="00000055">
      <w:pPr>
        <w:spacing w:after="200" w:lineRule="auto"/>
        <w:ind w:left="720"/>
        <w:rPr/>
      </w:pPr>
      <w:r w:rsidDel="00000000" w:rsidR="00000000" w:rsidRPr="00000000">
        <w:rPr>
          <w:rtl w:val="0"/>
        </w:rPr>
        <w:t xml:space="preserve">9.10</w:t>
        <w:tab/>
        <w:t xml:space="preserve">Main motions to amend a part of a document (including the Constitution, a Bylaw, or a previously adopted main motion) shall have the title and number of the document or section and the existing language for such documents and sections. Language that is to be struck must be crossed out and language to be added must be underlined. Other conventions for added and deleted language may be used provided that it is so specified in the main motion.</w:t>
      </w:r>
    </w:p>
    <w:p w:rsidR="00000000" w:rsidDel="00000000" w:rsidP="00000000" w:rsidRDefault="00000000" w:rsidRPr="00000000" w14:paraId="00000056">
      <w:pPr>
        <w:spacing w:after="200" w:lineRule="auto"/>
        <w:ind w:left="720"/>
        <w:rPr/>
      </w:pPr>
      <w:r w:rsidDel="00000000" w:rsidR="00000000" w:rsidRPr="00000000">
        <w:rPr>
          <w:rtl w:val="0"/>
        </w:rPr>
        <w:t xml:space="preserve">9.11</w:t>
        <w:tab/>
        <w:t xml:space="preserve">Substantive main motions shall be presented to the President for approval pursuant to Article III-A, Section 10 of the Constitution. The passage of a substantive main motion by the Senate shall constitute the required presentation. The President may veto such motions in accordance with the Constitution.</w:t>
      </w:r>
    </w:p>
    <w:p w:rsidR="00000000" w:rsidDel="00000000" w:rsidP="00000000" w:rsidRDefault="00000000" w:rsidRPr="00000000" w14:paraId="00000057">
      <w:pPr>
        <w:widowControl w:val="0"/>
        <w:spacing w:after="200" w:lineRule="auto"/>
        <w:ind w:left="720" w:right="140"/>
        <w:rPr/>
      </w:pPr>
      <w:r w:rsidDel="00000000" w:rsidR="00000000" w:rsidRPr="00000000">
        <w:rPr>
          <w:rtl w:val="0"/>
        </w:rPr>
        <w:t xml:space="preserve">9.12</w:t>
        <w:tab/>
        <w:t xml:space="preserve">Upon adjournment, any unfinished business and tabled motions shall be automatically postponed to the next meeting for Immediate Consideration. </w:t>
      </w:r>
    </w:p>
    <w:p w:rsidR="00000000" w:rsidDel="00000000" w:rsidP="00000000" w:rsidRDefault="00000000" w:rsidRPr="00000000" w14:paraId="00000058">
      <w:pPr>
        <w:spacing w:after="200" w:lineRule="auto"/>
        <w:rPr>
          <w:rFonts w:ascii="Cambria" w:cs="Cambria" w:eastAsia="Cambria" w:hAnsi="Cambria"/>
          <w:sz w:val="24"/>
          <w:szCs w:val="24"/>
        </w:rPr>
      </w:pPr>
      <w:r w:rsidDel="00000000" w:rsidR="00000000" w:rsidRPr="00000000">
        <w:rPr>
          <w:rtl w:val="0"/>
        </w:rPr>
        <w:t xml:space="preserve">[...]</w:t>
      </w:r>
      <w:r w:rsidDel="00000000" w:rsidR="00000000" w:rsidRPr="00000000">
        <w:rPr>
          <w:rtl w:val="0"/>
        </w:rPr>
      </w:r>
    </w:p>
    <w:sectPr>
      <w:headerReference r:id="rId14" w:type="default"/>
      <w:footerReference r:id="rId15" w:type="default"/>
      <w:type w:val="nextPage"/>
      <w:pgSz w:h="15840" w:w="12240" w:orient="portrait"/>
      <w:pgMar w:bottom="1440" w:top="1440" w:left="1440" w:right="144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jc w:val="center"/>
      <w:rPr>
        <w:rFonts w:ascii="Cambria" w:cs="Cambria" w:eastAsia="Cambria" w:hAnsi="Cambria"/>
        <w:b w:val="1"/>
        <w:bCs w:val="1"/>
        <w:sz w:val="18"/>
        <w:szCs w:val="18"/>
      </w:rPr>
    </w:pPr>
    <w:r w:rsidDel="00000000" w:rsidR="00000000" w:rsidRPr="00000000">
      <w:rPr>
        <w:rFonts w:ascii="Cambria" w:cs="Cambria" w:eastAsia="Cambria" w:hAnsi="Cambria"/>
        <w:i w:val="1"/>
        <w:iCs w:val="1"/>
        <w:sz w:val="18"/>
        <w:szCs w:val="18"/>
        <w:rtl w:val="0"/>
      </w:rPr>
      <w:t xml:space="preserve">[In Footer of First Page - Optional] </w:t>
    </w:r>
    <w:r w:rsidDel="00000000" w:rsidR="00000000" w:rsidRPr="00000000">
      <w:rPr>
        <w:rFonts w:ascii="Cambria" w:cs="Cambria" w:eastAsia="Cambria" w:hAnsi="Cambria"/>
        <w:b w:val="1"/>
        <w:bCs w:val="1"/>
        <w:sz w:val="18"/>
        <w:szCs w:val="18"/>
        <w:rtl w:val="0"/>
      </w:rPr>
      <w:t xml:space="preserve">Staff Contributors</w:t>
    </w:r>
  </w:p>
  <w:p w:rsidR="00000000" w:rsidDel="00000000" w:rsidP="00000000" w:rsidRDefault="00000000" w:rsidRPr="00000000" w14:paraId="0000005A">
    <w:pPr>
      <w:jc w:val="center"/>
      <w:rPr/>
    </w:pPr>
    <w:r w:rsidDel="00000000" w:rsidR="00000000" w:rsidRPr="00000000">
      <w:rPr>
        <w:rFonts w:ascii="Cambria" w:cs="Cambria" w:eastAsia="Cambria" w:hAnsi="Cambria"/>
        <w:sz w:val="18"/>
        <w:szCs w:val="18"/>
        <w:rtl w:val="0"/>
      </w:rPr>
      <w:t xml:space="preserve">First Name Middle Initial. Last Name (Position or Affiliation)</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jc w:val="cente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5E">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1">
        <w:r w:rsidDel="00000000" w:rsidR="00000000" w:rsidRPr="00000000">
          <w:rPr>
            <w:rFonts w:ascii="Cambria" w:cs="Cambria" w:eastAsia="Cambria" w:hAnsi="Cambria"/>
            <w:color w:val="1155cc"/>
            <w:sz w:val="20"/>
            <w:szCs w:val="20"/>
            <w:u w:val="single"/>
            <w:rtl w:val="0"/>
          </w:rPr>
          <w:t xml:space="preserve"> </w:t>
        </w:r>
      </w:hyperlink>
      <w:hyperlink r:id="rId2">
        <w:r w:rsidDel="00000000" w:rsidR="00000000" w:rsidRPr="00000000">
          <w:rPr>
            <w:rFonts w:ascii="Cambria" w:cs="Cambria" w:eastAsia="Cambria" w:hAnsi="Cambria"/>
            <w:color w:val="1155cc"/>
            <w:u w:val="single"/>
            <w:rtl w:val="0"/>
          </w:rPr>
          <w:t xml:space="preserve">ASUCBL 1201 §9</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rPr>
        <w:b w:val="1"/>
        <w:bCs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200" w:lineRule="auto"/>
    </w:pPr>
    <w:rPr>
      <w:b w:val="1"/>
      <w:bCs w:val="1"/>
      <w:smallCaps w:val="0"/>
    </w:rPr>
  </w:style>
  <w:style w:type="paragraph" w:styleId="Heading2">
    <w:name w:val="heading 2"/>
    <w:basedOn w:val="Normal"/>
    <w:next w:val="Normal"/>
    <w:pPr>
      <w:keepNext w:val="1"/>
      <w:keepLines w:val="1"/>
      <w:pageBreakBefore w:val="0"/>
      <w:spacing w:before="200" w:lineRule="auto"/>
    </w:pPr>
    <w:rPr>
      <w:rFonts w:ascii="Trebuchet MS" w:cs="Trebuchet MS" w:eastAsia="Trebuchet MS" w:hAnsi="Trebuchet MS"/>
      <w:b w:val="1"/>
      <w:bCs w:val="1"/>
      <w:smallCaps w:val="0"/>
      <w:sz w:val="26"/>
      <w:szCs w:val="26"/>
    </w:rPr>
  </w:style>
  <w:style w:type="paragraph" w:styleId="Heading3">
    <w:name w:val="heading 3"/>
    <w:basedOn w:val="Normal"/>
    <w:next w:val="Normal"/>
    <w:pPr>
      <w:keepNext w:val="1"/>
      <w:keepLines w:val="1"/>
      <w:pageBreakBefore w:val="0"/>
      <w:spacing w:before="160" w:lineRule="auto"/>
    </w:pPr>
    <w:rPr>
      <w:rFonts w:ascii="Trebuchet MS" w:cs="Trebuchet MS" w:eastAsia="Trebuchet MS" w:hAnsi="Trebuchet MS"/>
      <w:b w:val="1"/>
      <w:bCs w:val="1"/>
      <w:smallCaps w:val="0"/>
      <w:color w:val="666666"/>
      <w:sz w:val="24"/>
      <w:szCs w:val="24"/>
    </w:rPr>
  </w:style>
  <w:style w:type="paragraph" w:styleId="Heading4">
    <w:name w:val="heading 4"/>
    <w:basedOn w:val="Normal"/>
    <w:next w:val="Normal"/>
    <w:pPr>
      <w:keepNext w:val="1"/>
      <w:keepLines w:val="1"/>
      <w:pageBreakBefore w:val="0"/>
      <w:spacing w:before="160" w:lineRule="auto"/>
    </w:pPr>
    <w:rPr>
      <w:rFonts w:ascii="Trebuchet MS" w:cs="Trebuchet MS" w:eastAsia="Trebuchet MS" w:hAnsi="Trebuchet MS"/>
      <w:smallCaps w:val="0"/>
      <w:color w:val="666666"/>
      <w:u w:val="single"/>
    </w:rPr>
  </w:style>
  <w:style w:type="paragraph" w:styleId="Heading5">
    <w:name w:val="heading 5"/>
    <w:basedOn w:val="Normal"/>
    <w:next w:val="Normal"/>
    <w:pPr>
      <w:keepNext w:val="1"/>
      <w:keepLines w:val="1"/>
      <w:pageBreakBefore w:val="0"/>
      <w:spacing w:before="160" w:lineRule="auto"/>
    </w:pPr>
    <w:rPr>
      <w:rFonts w:ascii="Trebuchet MS" w:cs="Trebuchet MS" w:eastAsia="Trebuchet MS" w:hAnsi="Trebuchet MS"/>
      <w:smallCaps w:val="0"/>
      <w:color w:val="666666"/>
    </w:rPr>
  </w:style>
  <w:style w:type="paragraph" w:styleId="Heading6">
    <w:name w:val="heading 6"/>
    <w:basedOn w:val="Normal"/>
    <w:next w:val="Normal"/>
    <w:pPr>
      <w:keepNext w:val="1"/>
      <w:keepLines w:val="1"/>
      <w:pageBreakBefore w:val="0"/>
      <w:spacing w:before="160" w:lineRule="auto"/>
    </w:pPr>
    <w:rPr>
      <w:rFonts w:ascii="Trebuchet MS" w:cs="Trebuchet MS" w:eastAsia="Trebuchet MS" w:hAnsi="Trebuchet MS"/>
      <w:i w:val="1"/>
      <w:iCs w:val="1"/>
      <w:smallCaps w:val="0"/>
      <w:color w:val="666666"/>
    </w:rPr>
  </w:style>
  <w:style w:type="paragraph" w:styleId="Title">
    <w:name w:val="Title"/>
    <w:basedOn w:val="Normal"/>
    <w:next w:val="Normal"/>
    <w:pPr>
      <w:keepNext w:val="1"/>
      <w:keepLines w:val="1"/>
      <w:pageBreakBefore w:val="0"/>
    </w:pPr>
    <w:rPr>
      <w:rFonts w:ascii="Trebuchet MS" w:cs="Trebuchet MS" w:eastAsia="Trebuchet MS" w:hAnsi="Trebuchet MS"/>
      <w:smallCaps w:val="0"/>
      <w:sz w:val="42"/>
      <w:szCs w:val="42"/>
    </w:rPr>
  </w:style>
  <w:style w:type="paragraph" w:styleId="Subtitle">
    <w:name w:val="Subtitle"/>
    <w:basedOn w:val="Normal"/>
    <w:next w:val="Normal"/>
    <w:pPr>
      <w:keepNext w:val="1"/>
      <w:keepLines w:val="1"/>
      <w:pageBreakBefore w:val="0"/>
      <w:spacing w:after="200" w:lineRule="auto"/>
    </w:pPr>
    <w:rPr>
      <w:rFonts w:ascii="Trebuchet MS" w:cs="Trebuchet MS" w:eastAsia="Trebuchet MS" w:hAnsi="Trebuchet MS"/>
      <w:i w:val="1"/>
      <w:iCs w:val="1"/>
      <w:smallCaps w:val="0"/>
      <w:color w:val="666666"/>
      <w:sz w:val="26"/>
      <w:szCs w:val="26"/>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 Id="rId15" Type="http://schemas.openxmlformats.org/officeDocument/2006/relationships/footer" Target="footer2.xml"/><Relationship Id="rId14"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2.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document/d/1QEOoq3nmkpNsEBgMNEzum7ByONgVgDmZ3LoEAqnaHwg/edit?usp=drive_web&amp;ouid=112400942967741816251" TargetMode="External"/><Relationship Id="rId2" Type="http://schemas.openxmlformats.org/officeDocument/2006/relationships/hyperlink" Target="https://docs.google.com/document/d/1QEOoq3nmkpNsEBgMNEzum7ByONgVgDmZ3LoEAqnaHwg/edit?usp=drive_web&amp;ouid=1124009429677418162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